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pacing w:val="320"/>
          <w:sz w:val="36"/>
          <w:szCs w:val="36"/>
        </w:rPr>
      </w:pPr>
      <w:r>
        <w:rPr>
          <w:rFonts w:hint="eastAsia"/>
          <w:b/>
          <w:spacing w:val="320"/>
          <w:sz w:val="36"/>
          <w:szCs w:val="36"/>
        </w:rPr>
        <w:t>分散采购询价单</w:t>
      </w:r>
    </w:p>
    <w:p>
      <w:pPr>
        <w:jc w:val="center"/>
        <w:rPr>
          <w:b/>
          <w:szCs w:val="21"/>
        </w:rPr>
      </w:pPr>
      <w:r>
        <w:rPr>
          <w:rFonts w:hint="eastAsia"/>
          <w:b/>
          <w:szCs w:val="21"/>
          <w:lang w:val="en-US" w:eastAsia="zh-CN"/>
        </w:rPr>
        <w:t xml:space="preserve">                                           </w:t>
      </w:r>
      <w:r>
        <w:rPr>
          <w:rFonts w:hint="eastAsia"/>
          <w:b/>
          <w:szCs w:val="21"/>
        </w:rPr>
        <w:t>编号：</w:t>
      </w:r>
    </w:p>
    <w:p>
      <w:pPr>
        <w:spacing w:line="360" w:lineRule="exact"/>
        <w:jc w:val="left"/>
        <w:rPr>
          <w:rFonts w:cs="华文楷体" w:asciiTheme="minorEastAsia" w:hAnsiTheme="minorEastAsia"/>
          <w:bCs/>
          <w:sz w:val="24"/>
          <w:highlight w:val="yellow"/>
        </w:rPr>
      </w:pPr>
    </w:p>
    <w:p>
      <w:pPr>
        <w:spacing w:line="360" w:lineRule="exact"/>
        <w:jc w:val="left"/>
        <w:rPr>
          <w:rFonts w:hint="eastAsia" w:ascii="宋体" w:hAnsi="宋体"/>
          <w:b/>
          <w:bCs w:val="0"/>
          <w:kern w:val="0"/>
          <w:sz w:val="24"/>
        </w:rPr>
      </w:pPr>
      <w:r>
        <w:rPr>
          <w:rFonts w:hint="eastAsia" w:cs="华文楷体" w:asciiTheme="minorEastAsia" w:hAnsiTheme="minorEastAsia"/>
          <w:b/>
          <w:bCs w:val="0"/>
          <w:sz w:val="24"/>
        </w:rPr>
        <w:t>说明：</w:t>
      </w:r>
    </w:p>
    <w:p>
      <w:pPr>
        <w:pStyle w:val="24"/>
        <w:numPr>
          <w:ilvl w:val="0"/>
          <w:numId w:val="0"/>
        </w:numPr>
        <w:rPr>
          <w:rFonts w:hint="eastAsia"/>
          <w:sz w:val="24"/>
        </w:rPr>
      </w:pPr>
      <w:r>
        <w:rPr>
          <w:rFonts w:hint="eastAsia"/>
          <w:kern w:val="0"/>
          <w:sz w:val="24"/>
          <w:lang w:val="en-US" w:eastAsia="zh-CN"/>
        </w:rPr>
        <w:t>一、</w:t>
      </w:r>
      <w:r>
        <w:rPr>
          <w:rFonts w:hint="eastAsia" w:ascii="宋体" w:hAnsi="宋体"/>
          <w:kern w:val="0"/>
          <w:sz w:val="24"/>
        </w:rPr>
        <w:t>投标文件即为投标人的响应文件，下</w:t>
      </w:r>
      <w:r>
        <w:rPr>
          <w:rFonts w:hint="eastAsia" w:ascii="宋体" w:hAnsi="宋体"/>
          <w:b w:val="0"/>
          <w:bCs w:val="0"/>
          <w:kern w:val="0"/>
          <w:sz w:val="24"/>
        </w:rPr>
        <w:t>同。</w:t>
      </w:r>
      <w:r>
        <w:rPr>
          <w:rFonts w:hint="eastAsia"/>
          <w:b w:val="0"/>
          <w:bCs w:val="0"/>
          <w:sz w:val="24"/>
          <w:szCs w:val="24"/>
        </w:rPr>
        <w:t>报价须包含投标人服务成本、利润、税金和承担的风险等可能发生的一切费用。</w:t>
      </w:r>
    </w:p>
    <w:p>
      <w:pPr>
        <w:spacing w:line="360" w:lineRule="exact"/>
        <w:jc w:val="left"/>
        <w:rPr>
          <w:sz w:val="24"/>
        </w:rPr>
      </w:pPr>
      <w:r>
        <w:rPr>
          <w:rFonts w:hint="eastAsia"/>
          <w:sz w:val="24"/>
          <w:lang w:val="en-US" w:eastAsia="zh-CN"/>
        </w:rPr>
        <w:t>二、</w:t>
      </w:r>
      <w:r>
        <w:rPr>
          <w:rFonts w:hint="eastAsia"/>
          <w:sz w:val="24"/>
        </w:rPr>
        <w:t>响应文件</w:t>
      </w:r>
      <w:r>
        <w:rPr>
          <w:rFonts w:hint="eastAsia"/>
          <w:b/>
          <w:sz w:val="24"/>
        </w:rPr>
        <w:t>一份</w:t>
      </w:r>
      <w:r>
        <w:rPr>
          <w:rFonts w:hint="eastAsia"/>
          <w:sz w:val="24"/>
        </w:rPr>
        <w:t>用印密封后请在2</w:t>
      </w:r>
      <w:r>
        <w:rPr>
          <w:sz w:val="24"/>
        </w:rPr>
        <w:t>02</w:t>
      </w:r>
      <w:r>
        <w:rPr>
          <w:rFonts w:hint="eastAsia"/>
          <w:sz w:val="24"/>
          <w:lang w:val="en-US" w:eastAsia="zh-CN"/>
        </w:rPr>
        <w:t>3</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9</w:t>
      </w:r>
      <w:r>
        <w:rPr>
          <w:rFonts w:hint="eastAsia"/>
          <w:sz w:val="24"/>
        </w:rPr>
        <w:t>日</w:t>
      </w:r>
      <w:r>
        <w:rPr>
          <w:rFonts w:hint="eastAsia"/>
          <w:sz w:val="24"/>
          <w:lang w:val="en-US" w:eastAsia="zh-CN"/>
        </w:rPr>
        <w:t>上午</w:t>
      </w:r>
      <w:r>
        <w:rPr>
          <w:rFonts w:hint="eastAsia"/>
          <w:sz w:val="24"/>
        </w:rPr>
        <w:t>1</w:t>
      </w:r>
      <w:r>
        <w:rPr>
          <w:sz w:val="24"/>
        </w:rPr>
        <w:t>1</w:t>
      </w:r>
      <w:r>
        <w:rPr>
          <w:rFonts w:hint="eastAsia"/>
          <w:sz w:val="24"/>
        </w:rPr>
        <w:t>点前送到江苏省</w:t>
      </w:r>
      <w:r>
        <w:rPr>
          <w:sz w:val="24"/>
        </w:rPr>
        <w:t>徐州市铜山</w:t>
      </w:r>
      <w:r>
        <w:rPr>
          <w:rFonts w:hint="eastAsia"/>
          <w:sz w:val="24"/>
        </w:rPr>
        <w:t>新区</w:t>
      </w:r>
      <w:r>
        <w:rPr>
          <w:sz w:val="24"/>
        </w:rPr>
        <w:t>上海路</w:t>
      </w:r>
      <w:r>
        <w:rPr>
          <w:rFonts w:hint="eastAsia"/>
          <w:sz w:val="24"/>
        </w:rPr>
        <w:t>101号</w:t>
      </w:r>
      <w:r>
        <w:rPr>
          <w:sz w:val="24"/>
        </w:rPr>
        <w:t>实验室</w:t>
      </w:r>
      <w:r>
        <w:rPr>
          <w:rFonts w:hint="eastAsia"/>
          <w:sz w:val="24"/>
        </w:rPr>
        <w:t>与</w:t>
      </w:r>
      <w:r>
        <w:rPr>
          <w:sz w:val="24"/>
        </w:rPr>
        <w:t>设备管理处</w:t>
      </w:r>
      <w:r>
        <w:rPr>
          <w:rFonts w:hint="eastAsia"/>
          <w:sz w:val="24"/>
        </w:rPr>
        <w:t>14</w:t>
      </w:r>
      <w:r>
        <w:rPr>
          <w:sz w:val="24"/>
        </w:rPr>
        <w:t>#20</w:t>
      </w:r>
      <w:r>
        <w:rPr>
          <w:rFonts w:hint="eastAsia"/>
          <w:sz w:val="24"/>
          <w:lang w:val="en-US" w:eastAsia="zh-CN"/>
        </w:rPr>
        <w:t>2</w:t>
      </w:r>
      <w:r>
        <w:rPr>
          <w:rFonts w:hint="eastAsia"/>
          <w:sz w:val="24"/>
        </w:rPr>
        <w:t>室；联系</w:t>
      </w:r>
      <w:r>
        <w:rPr>
          <w:rFonts w:hint="eastAsia"/>
          <w:sz w:val="24"/>
          <w:lang w:val="en-US" w:eastAsia="zh-CN"/>
        </w:rPr>
        <w:t>人及联系电话</w:t>
      </w:r>
      <w:r>
        <w:rPr>
          <w:rFonts w:hint="eastAsia"/>
          <w:sz w:val="24"/>
        </w:rPr>
        <w:t>：</w:t>
      </w:r>
      <w:r>
        <w:rPr>
          <w:rFonts w:hint="eastAsia"/>
          <w:sz w:val="24"/>
          <w:lang w:val="en-US" w:eastAsia="zh-CN"/>
        </w:rPr>
        <w:t>杨龙</w:t>
      </w:r>
      <w:r>
        <w:rPr>
          <w:rFonts w:hint="eastAsia"/>
          <w:sz w:val="24"/>
        </w:rPr>
        <w:t>老师</w:t>
      </w:r>
      <w:r>
        <w:rPr>
          <w:sz w:val="24"/>
        </w:rPr>
        <w:t>，</w:t>
      </w:r>
      <w:r>
        <w:rPr>
          <w:rFonts w:hint="eastAsia"/>
          <w:sz w:val="24"/>
        </w:rPr>
        <w:t>0516-836563</w:t>
      </w:r>
      <w:r>
        <w:rPr>
          <w:rFonts w:hint="eastAsia"/>
          <w:sz w:val="24"/>
          <w:lang w:val="en-US" w:eastAsia="zh-CN"/>
        </w:rPr>
        <w:t>10</w:t>
      </w:r>
      <w:r>
        <w:rPr>
          <w:rFonts w:hint="eastAsia"/>
          <w:sz w:val="24"/>
        </w:rPr>
        <w:t>；未按时</w:t>
      </w:r>
      <w:r>
        <w:rPr>
          <w:rFonts w:hint="eastAsia"/>
          <w:sz w:val="24"/>
          <w:lang w:val="en-US" w:eastAsia="zh-CN"/>
        </w:rPr>
        <w:t>交</w:t>
      </w:r>
      <w:r>
        <w:rPr>
          <w:rFonts w:hint="eastAsia"/>
          <w:sz w:val="24"/>
        </w:rPr>
        <w:t>到的一切后果由投标人承担。</w:t>
      </w:r>
    </w:p>
    <w:p>
      <w:pPr>
        <w:spacing w:line="360" w:lineRule="exact"/>
        <w:jc w:val="left"/>
        <w:rPr>
          <w:rFonts w:cs="华文楷体"/>
          <w:b/>
          <w:color w:val="000000"/>
          <w:sz w:val="24"/>
        </w:rPr>
      </w:pPr>
      <w:r>
        <w:rPr>
          <w:rFonts w:hint="eastAsia"/>
          <w:sz w:val="24"/>
          <w:lang w:val="en-US" w:eastAsia="zh-CN"/>
        </w:rPr>
        <w:t>三、</w:t>
      </w:r>
      <w:r>
        <w:rPr>
          <w:rFonts w:hint="eastAsia"/>
          <w:sz w:val="24"/>
        </w:rPr>
        <w:t>本项目为</w:t>
      </w:r>
      <w:r>
        <w:rPr>
          <w:rFonts w:hint="eastAsia"/>
          <w:b/>
          <w:sz w:val="24"/>
        </w:rPr>
        <w:t>线上</w:t>
      </w:r>
      <w:r>
        <w:rPr>
          <w:rFonts w:hint="eastAsia"/>
          <w:sz w:val="24"/>
        </w:rPr>
        <w:t>开标，</w:t>
      </w:r>
      <w:r>
        <w:rPr>
          <w:rFonts w:hint="eastAsia" w:cs="华文楷体" w:asciiTheme="minorEastAsia" w:hAnsiTheme="minorEastAsia"/>
          <w:color w:val="000000" w:themeColor="text1"/>
          <w:sz w:val="24"/>
          <w:szCs w:val="24"/>
          <w14:textFill>
            <w14:solidFill>
              <w14:schemeClr w14:val="tx1"/>
            </w14:solidFill>
          </w14:textFill>
        </w:rPr>
        <w:t>投标人无需到达现场。</w:t>
      </w:r>
      <w:r>
        <w:rPr>
          <w:rFonts w:hint="eastAsia"/>
          <w:sz w:val="24"/>
        </w:rPr>
        <w:t>开标时间、评标结果均在</w:t>
      </w:r>
      <w:r>
        <w:rPr>
          <w:sz w:val="24"/>
        </w:rPr>
        <w:t>实验室</w:t>
      </w:r>
      <w:r>
        <w:rPr>
          <w:rFonts w:hint="eastAsia"/>
          <w:sz w:val="24"/>
        </w:rPr>
        <w:t>与</w:t>
      </w:r>
      <w:r>
        <w:rPr>
          <w:sz w:val="24"/>
        </w:rPr>
        <w:t>设备管理处</w:t>
      </w:r>
      <w:r>
        <w:rPr>
          <w:rFonts w:hint="eastAsia"/>
          <w:sz w:val="24"/>
          <w:lang w:val="en-US" w:eastAsia="zh-CN"/>
        </w:rPr>
        <w:t>网站</w:t>
      </w:r>
      <w:r>
        <w:rPr>
          <w:rFonts w:hint="eastAsia"/>
          <w:sz w:val="24"/>
        </w:rPr>
        <w:t>通知，</w:t>
      </w:r>
      <w:r>
        <w:rPr>
          <w:rFonts w:hint="eastAsia" w:cs="华文楷体"/>
          <w:b/>
          <w:color w:val="000000"/>
          <w:sz w:val="24"/>
        </w:rPr>
        <w:t>本项目有二次报价环节，二次报价不得高于一次报价；二次报价为最终报价。</w:t>
      </w:r>
    </w:p>
    <w:p>
      <w:pPr>
        <w:spacing w:line="360" w:lineRule="exact"/>
        <w:jc w:val="left"/>
        <w:rPr>
          <w:rFonts w:hint="eastAsia" w:cs="华文楷体" w:asciiTheme="minorEastAsia" w:hAnsiTheme="minorEastAsia"/>
          <w:bCs/>
          <w:sz w:val="24"/>
          <w:lang w:val="en-US" w:eastAsia="zh-CN"/>
        </w:rPr>
      </w:pPr>
      <w:r>
        <w:rPr>
          <w:rFonts w:hint="eastAsia" w:cs="华文楷体" w:asciiTheme="minorEastAsia" w:hAnsiTheme="minorEastAsia"/>
          <w:bCs/>
          <w:sz w:val="24"/>
          <w:lang w:val="en-US" w:eastAsia="zh-CN"/>
        </w:rPr>
        <w:t>四、本次预算不高于5万元，质保期不低于2年。</w:t>
      </w:r>
    </w:p>
    <w:p>
      <w:pPr>
        <w:spacing w:line="360" w:lineRule="exact"/>
        <w:jc w:val="left"/>
        <w:rPr>
          <w:rFonts w:hint="default" w:cs="华文楷体" w:asciiTheme="minorEastAsia" w:hAnsiTheme="minorEastAsia"/>
          <w:bCs/>
          <w:sz w:val="24"/>
          <w:lang w:val="en-US" w:eastAsia="zh-CN"/>
        </w:rPr>
      </w:pPr>
    </w:p>
    <w:p>
      <w:pPr>
        <w:spacing w:line="360" w:lineRule="exact"/>
        <w:jc w:val="left"/>
        <w:rPr>
          <w:rFonts w:hint="eastAsia" w:cs="华文楷体" w:asciiTheme="minorEastAsia" w:hAnsiTheme="minorEastAsia"/>
          <w:b/>
          <w:bCs w:val="0"/>
          <w:sz w:val="24"/>
        </w:rPr>
      </w:pPr>
      <w:r>
        <w:rPr>
          <w:rFonts w:hint="eastAsia" w:cs="华文楷体" w:asciiTheme="minorEastAsia" w:hAnsiTheme="minorEastAsia"/>
          <w:b/>
          <w:bCs w:val="0"/>
          <w:sz w:val="24"/>
        </w:rPr>
        <w:t>需求：</w:t>
      </w:r>
    </w:p>
    <w:p>
      <w:pPr>
        <w:spacing w:line="276" w:lineRule="auto"/>
        <w:jc w:val="left"/>
        <w:rPr>
          <w:rFonts w:hint="eastAsia" w:ascii="宋体" w:hAnsi="宋体" w:cs="宋体"/>
          <w:color w:val="000000"/>
          <w:kern w:val="0"/>
          <w:sz w:val="24"/>
          <w:szCs w:val="24"/>
          <w:lang w:val="zh-CN" w:eastAsia="zh-CN"/>
        </w:rPr>
      </w:pPr>
      <w:r>
        <w:rPr>
          <w:rFonts w:hint="eastAsia" w:ascii="宋体" w:hAnsi="宋体" w:cs="宋体"/>
          <w:color w:val="000000"/>
          <w:kern w:val="0"/>
          <w:sz w:val="24"/>
          <w:szCs w:val="24"/>
          <w:lang w:val="en-US" w:eastAsia="zh-CN"/>
        </w:rPr>
        <w:t>一、</w:t>
      </w:r>
      <w:r>
        <w:rPr>
          <w:rFonts w:hint="eastAsia" w:ascii="宋体" w:hAnsi="宋体" w:cs="宋体"/>
          <w:color w:val="000000"/>
          <w:kern w:val="0"/>
          <w:sz w:val="24"/>
          <w:szCs w:val="24"/>
          <w:lang w:val="zh-CN" w:eastAsia="zh-CN"/>
        </w:rPr>
        <w:t>名称：江苏师范大学实验室</w:t>
      </w:r>
      <w:r>
        <w:rPr>
          <w:rFonts w:hint="eastAsia" w:ascii="宋体" w:hAnsi="宋体" w:cs="宋体"/>
          <w:color w:val="000000"/>
          <w:kern w:val="0"/>
          <w:sz w:val="24"/>
          <w:szCs w:val="24"/>
          <w:lang w:val="en-US" w:eastAsia="zh-CN"/>
        </w:rPr>
        <w:t>技术</w:t>
      </w:r>
      <w:r>
        <w:rPr>
          <w:rFonts w:hint="eastAsia" w:ascii="宋体" w:hAnsi="宋体" w:cs="宋体"/>
          <w:color w:val="000000"/>
          <w:kern w:val="0"/>
          <w:sz w:val="24"/>
          <w:szCs w:val="24"/>
          <w:lang w:val="zh-CN" w:eastAsia="zh-CN"/>
        </w:rPr>
        <w:t>安全</w:t>
      </w:r>
      <w:r>
        <w:rPr>
          <w:rFonts w:hint="eastAsia" w:ascii="宋体" w:hAnsi="宋体" w:cs="宋体"/>
          <w:color w:val="000000"/>
          <w:kern w:val="0"/>
          <w:sz w:val="24"/>
          <w:szCs w:val="24"/>
          <w:lang w:val="en-US" w:eastAsia="zh-CN"/>
        </w:rPr>
        <w:t>检查</w:t>
      </w:r>
      <w:r>
        <w:rPr>
          <w:rFonts w:hint="eastAsia" w:ascii="宋体" w:hAnsi="宋体" w:cs="宋体"/>
          <w:color w:val="000000"/>
          <w:kern w:val="0"/>
          <w:sz w:val="24"/>
          <w:szCs w:val="24"/>
          <w:lang w:val="zh-CN" w:eastAsia="zh-CN"/>
        </w:rPr>
        <w:t>系统；</w:t>
      </w:r>
    </w:p>
    <w:p>
      <w:pPr>
        <w:spacing w:line="276" w:lineRule="auto"/>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二、预算：5万元；</w:t>
      </w:r>
    </w:p>
    <w:p>
      <w:pPr>
        <w:spacing w:line="276" w:lineRule="auto"/>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三、技术要求：</w:t>
      </w:r>
    </w:p>
    <w:p>
      <w:pPr>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实验室</w:t>
      </w:r>
      <w:r>
        <w:rPr>
          <w:rFonts w:hint="eastAsia" w:ascii="宋体" w:hAnsi="宋体" w:cs="宋体"/>
          <w:color w:val="000000"/>
          <w:kern w:val="0"/>
          <w:sz w:val="24"/>
          <w:szCs w:val="24"/>
          <w:lang w:val="en-US" w:eastAsia="zh-CN"/>
        </w:rPr>
        <w:t>技术</w:t>
      </w:r>
      <w:r>
        <w:rPr>
          <w:rFonts w:ascii="宋体" w:hAnsi="宋体" w:cs="宋体"/>
          <w:color w:val="000000"/>
          <w:kern w:val="0"/>
          <w:sz w:val="24"/>
          <w:szCs w:val="24"/>
          <w:lang w:val="zh-CN"/>
        </w:rPr>
        <w:t>安全</w:t>
      </w:r>
      <w:r>
        <w:rPr>
          <w:rFonts w:hint="eastAsia" w:ascii="宋体" w:hAnsi="宋体" w:cs="宋体"/>
          <w:color w:val="000000"/>
          <w:kern w:val="0"/>
          <w:sz w:val="24"/>
          <w:szCs w:val="24"/>
          <w:lang w:val="en-US" w:eastAsia="zh-CN"/>
        </w:rPr>
        <w:t>检查</w:t>
      </w:r>
      <w:r>
        <w:rPr>
          <w:rFonts w:ascii="宋体" w:hAnsi="宋体" w:cs="宋体"/>
          <w:color w:val="000000"/>
          <w:kern w:val="0"/>
          <w:sz w:val="24"/>
          <w:szCs w:val="24"/>
          <w:lang w:val="zh-CN"/>
        </w:rPr>
        <w:t>系统与</w:t>
      </w:r>
      <w:r>
        <w:rPr>
          <w:rFonts w:hint="eastAsia" w:ascii="宋体" w:hAnsi="宋体" w:cs="宋体"/>
          <w:color w:val="000000"/>
          <w:kern w:val="0"/>
          <w:sz w:val="24"/>
          <w:szCs w:val="24"/>
          <w:lang w:val="en-US" w:eastAsia="zh-CN"/>
        </w:rPr>
        <w:t>已有的系统</w:t>
      </w:r>
      <w:r>
        <w:rPr>
          <w:rFonts w:hint="eastAsia" w:ascii="宋体" w:hAnsi="宋体" w:cs="宋体"/>
          <w:color w:val="000000"/>
          <w:kern w:val="0"/>
          <w:sz w:val="24"/>
          <w:szCs w:val="24"/>
          <w:lang w:val="zh-CN"/>
        </w:rPr>
        <w:t>相辅相成</w:t>
      </w:r>
      <w:r>
        <w:rPr>
          <w:rFonts w:ascii="宋体" w:hAnsi="宋体" w:cs="宋体"/>
          <w:color w:val="000000"/>
          <w:kern w:val="0"/>
          <w:sz w:val="24"/>
          <w:szCs w:val="24"/>
          <w:lang w:val="zh-CN"/>
        </w:rPr>
        <w:t>，数据库同步统一</w:t>
      </w:r>
      <w:r>
        <w:rPr>
          <w:rFonts w:hint="eastAsia" w:ascii="宋体" w:hAnsi="宋体" w:cs="宋体"/>
          <w:color w:val="000000"/>
          <w:kern w:val="0"/>
          <w:sz w:val="24"/>
          <w:szCs w:val="24"/>
          <w:lang w:val="zh-CN"/>
        </w:rPr>
        <w:t>，两</w:t>
      </w:r>
      <w:r>
        <w:rPr>
          <w:rFonts w:ascii="宋体" w:hAnsi="宋体" w:cs="宋体"/>
          <w:color w:val="000000"/>
          <w:kern w:val="0"/>
          <w:sz w:val="24"/>
          <w:szCs w:val="24"/>
          <w:lang w:val="zh-CN"/>
        </w:rPr>
        <w:t>系统必须对接无缝隙。</w:t>
      </w:r>
    </w:p>
    <w:p>
      <w:pPr>
        <w:spacing w:line="276" w:lineRule="auto"/>
        <w:ind w:firstLine="480" w:firstLineChars="20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zh-CN"/>
        </w:rPr>
        <w:t>实验室</w:t>
      </w:r>
      <w:r>
        <w:rPr>
          <w:rFonts w:hint="eastAsia" w:ascii="宋体" w:hAnsi="宋体" w:cs="宋体"/>
          <w:color w:val="000000"/>
          <w:kern w:val="0"/>
          <w:sz w:val="24"/>
          <w:szCs w:val="24"/>
          <w:lang w:val="en-US" w:eastAsia="zh-CN"/>
        </w:rPr>
        <w:t>技术</w:t>
      </w:r>
      <w:r>
        <w:rPr>
          <w:rFonts w:ascii="宋体" w:hAnsi="宋体" w:cs="宋体"/>
          <w:color w:val="000000"/>
          <w:kern w:val="0"/>
          <w:sz w:val="24"/>
          <w:szCs w:val="24"/>
          <w:lang w:val="zh-CN"/>
        </w:rPr>
        <w:t>安全</w:t>
      </w:r>
      <w:r>
        <w:rPr>
          <w:rFonts w:hint="eastAsia" w:ascii="宋体" w:hAnsi="宋体" w:cs="宋体"/>
          <w:color w:val="000000"/>
          <w:kern w:val="0"/>
          <w:sz w:val="24"/>
          <w:szCs w:val="24"/>
          <w:lang w:val="en-US" w:eastAsia="zh-CN"/>
        </w:rPr>
        <w:t>检查</w:t>
      </w:r>
      <w:r>
        <w:rPr>
          <w:rFonts w:ascii="宋体" w:hAnsi="宋体" w:cs="宋体"/>
          <w:color w:val="000000"/>
          <w:kern w:val="0"/>
          <w:sz w:val="24"/>
          <w:szCs w:val="24"/>
          <w:lang w:val="zh-CN"/>
        </w:rPr>
        <w:t>系统</w:t>
      </w:r>
      <w:r>
        <w:rPr>
          <w:rFonts w:hint="eastAsia" w:ascii="宋体" w:hAnsi="宋体" w:cs="宋体"/>
          <w:color w:val="000000"/>
          <w:kern w:val="0"/>
          <w:sz w:val="24"/>
          <w:szCs w:val="24"/>
          <w:lang w:val="en-US" w:eastAsia="zh-CN"/>
        </w:rPr>
        <w:t>包含的功能应参照《江苏师范大学实验室技术安全量化管理实施细则》文件内容设计。</w:t>
      </w:r>
    </w:p>
    <w:p>
      <w:pPr>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1.系统分层</w:t>
      </w:r>
      <w:r>
        <w:rPr>
          <w:rFonts w:ascii="宋体" w:hAnsi="宋体" w:cs="宋体"/>
          <w:color w:val="000000"/>
          <w:kern w:val="0"/>
          <w:sz w:val="24"/>
          <w:szCs w:val="24"/>
          <w:lang w:val="zh-CN"/>
        </w:rPr>
        <w:t>管理，角色不同，权限不同。</w:t>
      </w:r>
      <w:r>
        <w:rPr>
          <w:rFonts w:hint="eastAsia" w:ascii="宋体" w:hAnsi="宋体" w:cs="宋体"/>
          <w:color w:val="000000"/>
          <w:kern w:val="0"/>
          <w:sz w:val="24"/>
          <w:szCs w:val="24"/>
          <w:lang w:val="zh-CN"/>
        </w:rPr>
        <w:t>手机端</w:t>
      </w:r>
      <w:r>
        <w:rPr>
          <w:rFonts w:ascii="宋体" w:hAnsi="宋体" w:cs="宋体"/>
          <w:color w:val="000000"/>
          <w:kern w:val="0"/>
          <w:sz w:val="24"/>
          <w:szCs w:val="24"/>
          <w:lang w:val="zh-CN"/>
        </w:rPr>
        <w:t>和</w:t>
      </w:r>
      <w:r>
        <w:rPr>
          <w:rFonts w:hint="eastAsia" w:ascii="宋体" w:hAnsi="宋体" w:cs="宋体"/>
          <w:color w:val="000000"/>
          <w:kern w:val="0"/>
          <w:sz w:val="24"/>
          <w:szCs w:val="24"/>
          <w:lang w:val="zh-CN"/>
        </w:rPr>
        <w:t>P</w:t>
      </w:r>
      <w:r>
        <w:rPr>
          <w:rFonts w:ascii="宋体" w:hAnsi="宋体" w:cs="宋体"/>
          <w:color w:val="000000"/>
          <w:kern w:val="0"/>
          <w:sz w:val="24"/>
          <w:szCs w:val="24"/>
          <w:lang w:val="zh-CN"/>
        </w:rPr>
        <w:t>C</w:t>
      </w:r>
      <w:r>
        <w:rPr>
          <w:rFonts w:hint="eastAsia" w:ascii="宋体" w:hAnsi="宋体" w:cs="宋体"/>
          <w:color w:val="000000"/>
          <w:kern w:val="0"/>
          <w:sz w:val="24"/>
          <w:szCs w:val="24"/>
          <w:lang w:val="zh-CN"/>
        </w:rPr>
        <w:t>端</w:t>
      </w:r>
      <w:r>
        <w:rPr>
          <w:rFonts w:ascii="宋体" w:hAnsi="宋体" w:cs="宋体"/>
          <w:color w:val="000000"/>
          <w:kern w:val="0"/>
          <w:sz w:val="24"/>
          <w:szCs w:val="24"/>
          <w:lang w:val="zh-CN"/>
        </w:rPr>
        <w:t>都可</w:t>
      </w:r>
      <w:r>
        <w:rPr>
          <w:rFonts w:hint="eastAsia" w:ascii="宋体" w:hAnsi="宋体" w:cs="宋体"/>
          <w:color w:val="000000"/>
          <w:kern w:val="0"/>
          <w:sz w:val="24"/>
          <w:szCs w:val="24"/>
          <w:lang w:val="zh-CN"/>
        </w:rPr>
        <w:t>使用。可与江苏</w:t>
      </w:r>
      <w:r>
        <w:rPr>
          <w:rFonts w:ascii="宋体" w:hAnsi="宋体" w:cs="宋体"/>
          <w:color w:val="000000"/>
          <w:kern w:val="0"/>
          <w:sz w:val="24"/>
          <w:szCs w:val="24"/>
          <w:lang w:val="zh-CN"/>
        </w:rPr>
        <w:t>师范大学</w:t>
      </w:r>
      <w:r>
        <w:rPr>
          <w:rFonts w:hint="eastAsia" w:ascii="宋体" w:hAnsi="宋体" w:cs="宋体"/>
          <w:color w:val="000000"/>
          <w:kern w:val="0"/>
          <w:sz w:val="24"/>
          <w:szCs w:val="24"/>
          <w:lang w:val="zh-CN"/>
        </w:rPr>
        <w:t>校园</w:t>
      </w:r>
      <w:r>
        <w:rPr>
          <w:rFonts w:ascii="宋体" w:hAnsi="宋体" w:cs="宋体"/>
          <w:color w:val="000000"/>
          <w:kern w:val="0"/>
          <w:sz w:val="24"/>
          <w:szCs w:val="24"/>
          <w:lang w:val="zh-CN"/>
        </w:rPr>
        <w:t>门户</w:t>
      </w:r>
      <w:r>
        <w:rPr>
          <w:rFonts w:hint="eastAsia" w:ascii="宋体" w:hAnsi="宋体" w:cs="宋体"/>
          <w:color w:val="000000"/>
          <w:kern w:val="0"/>
          <w:sz w:val="24"/>
          <w:szCs w:val="24"/>
          <w:lang w:val="zh-CN"/>
        </w:rPr>
        <w:t>、</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爱</w:t>
      </w:r>
      <w:r>
        <w:rPr>
          <w:rFonts w:ascii="宋体" w:hAnsi="宋体" w:cs="宋体"/>
          <w:color w:val="000000"/>
          <w:kern w:val="0"/>
          <w:sz w:val="24"/>
          <w:szCs w:val="24"/>
          <w:lang w:val="zh-CN"/>
        </w:rPr>
        <w:t>师大”</w:t>
      </w:r>
      <w:r>
        <w:rPr>
          <w:rFonts w:hint="eastAsia" w:ascii="宋体" w:hAnsi="宋体" w:cs="宋体"/>
          <w:color w:val="000000"/>
          <w:kern w:val="0"/>
          <w:sz w:val="24"/>
          <w:szCs w:val="24"/>
          <w:lang w:val="zh-CN"/>
        </w:rPr>
        <w:t>、</w:t>
      </w:r>
      <w:r>
        <w:rPr>
          <w:rFonts w:ascii="宋体" w:hAnsi="宋体" w:cs="宋体"/>
          <w:color w:val="000000"/>
          <w:kern w:val="0"/>
          <w:sz w:val="24"/>
          <w:szCs w:val="24"/>
          <w:lang w:val="zh-CN"/>
        </w:rPr>
        <w:t xml:space="preserve"> 实验室安全</w:t>
      </w:r>
      <w:r>
        <w:rPr>
          <w:rFonts w:hint="eastAsia" w:ascii="宋体" w:hAnsi="宋体" w:cs="宋体"/>
          <w:color w:val="000000"/>
          <w:kern w:val="0"/>
          <w:sz w:val="24"/>
          <w:szCs w:val="24"/>
          <w:lang w:val="zh-CN"/>
        </w:rPr>
        <w:t>知识</w:t>
      </w:r>
      <w:r>
        <w:rPr>
          <w:rFonts w:ascii="宋体" w:hAnsi="宋体" w:cs="宋体"/>
          <w:color w:val="000000"/>
          <w:kern w:val="0"/>
          <w:sz w:val="24"/>
          <w:szCs w:val="24"/>
          <w:lang w:val="zh-CN"/>
        </w:rPr>
        <w:t>在线考试</w:t>
      </w:r>
      <w:r>
        <w:rPr>
          <w:rFonts w:hint="eastAsia" w:ascii="宋体" w:hAnsi="宋体" w:cs="宋体"/>
          <w:color w:val="000000"/>
          <w:kern w:val="0"/>
          <w:sz w:val="24"/>
          <w:szCs w:val="24"/>
          <w:lang w:val="zh-CN"/>
        </w:rPr>
        <w:t>系统进行</w:t>
      </w:r>
      <w:r>
        <w:rPr>
          <w:rFonts w:ascii="宋体" w:hAnsi="宋体" w:cs="宋体"/>
          <w:color w:val="000000"/>
          <w:kern w:val="0"/>
          <w:sz w:val="24"/>
          <w:szCs w:val="24"/>
          <w:lang w:val="zh-CN"/>
        </w:rPr>
        <w:t>应用集成</w:t>
      </w:r>
      <w:r>
        <w:rPr>
          <w:rFonts w:hint="eastAsia" w:ascii="宋体" w:hAnsi="宋体" w:cs="宋体"/>
          <w:color w:val="000000"/>
          <w:kern w:val="0"/>
          <w:sz w:val="24"/>
          <w:szCs w:val="24"/>
          <w:lang w:val="zh-CN"/>
        </w:rPr>
        <w:t>。</w:t>
      </w:r>
    </w:p>
    <w:p>
      <w:pPr>
        <w:spacing w:line="276" w:lineRule="auto"/>
        <w:ind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2.同学校组织机构。学校的相关处室、学院的增删改查管理，支持多级设定，每一级内支持自定义显示排序。每个处室列表及详细功能中要体现统计功能，例如人员数量、管理实验室数量、</w:t>
      </w:r>
      <w:r>
        <w:rPr>
          <w:rFonts w:hint="eastAsia" w:ascii="宋体" w:hAnsi="宋体" w:cs="宋体"/>
          <w:color w:val="000000"/>
          <w:kern w:val="0"/>
          <w:sz w:val="24"/>
          <w:szCs w:val="24"/>
          <w:lang w:val="en-US" w:eastAsia="zh-CN"/>
        </w:rPr>
        <w:t>存在安全隐患数量、隐患整改数量</w:t>
      </w:r>
      <w:r>
        <w:rPr>
          <w:rFonts w:hint="eastAsia" w:ascii="宋体" w:hAnsi="宋体" w:cs="宋体"/>
          <w:color w:val="000000"/>
          <w:kern w:val="0"/>
          <w:sz w:val="24"/>
          <w:szCs w:val="24"/>
          <w:lang w:val="zh-CN"/>
        </w:rPr>
        <w:t>等。</w:t>
      </w:r>
    </w:p>
    <w:p>
      <w:pPr>
        <w:spacing w:line="276" w:lineRule="auto"/>
        <w:ind w:firstLine="480" w:firstLineChars="200"/>
        <w:jc w:val="left"/>
        <w:rPr>
          <w:rFonts w:ascii="宋体" w:hAnsi="宋体" w:cs="宋体"/>
          <w:color w:val="000000"/>
          <w:kern w:val="0"/>
          <w:sz w:val="24"/>
          <w:szCs w:val="24"/>
          <w:lang w:val="zh-CN"/>
        </w:rPr>
      </w:pPr>
      <w:r>
        <w:rPr>
          <w:rFonts w:hint="eastAsia" w:ascii="宋体" w:hAnsi="宋体" w:eastAsia="宋体" w:cs="宋体"/>
          <w:color w:val="000000"/>
          <w:kern w:val="0"/>
          <w:sz w:val="24"/>
          <w:szCs w:val="24"/>
          <w:lang w:val="zh-CN"/>
        </w:rPr>
        <w:t>3.人员管理。</w:t>
      </w:r>
      <w:r>
        <w:rPr>
          <w:rFonts w:hint="eastAsia" w:ascii="宋体" w:hAnsi="宋体" w:cs="宋体"/>
          <w:color w:val="000000"/>
          <w:kern w:val="0"/>
          <w:sz w:val="24"/>
          <w:szCs w:val="24"/>
          <w:lang w:val="zh-CN"/>
        </w:rPr>
        <w:t>所有的系统使用人员必须通过学校统一身份平台进行登录。登录后通过工号或者学号与本系统一一对应映射。</w:t>
      </w:r>
    </w:p>
    <w:p>
      <w:pPr>
        <w:spacing w:line="276" w:lineRule="auto"/>
        <w:ind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人员分为老师、学生等角色。</w:t>
      </w:r>
    </w:p>
    <w:p>
      <w:pPr>
        <w:spacing w:line="276" w:lineRule="auto"/>
        <w:ind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人员管理需支持添加、修改、删除、停权、恢复、检索、导出报表等操作。</w:t>
      </w:r>
    </w:p>
    <w:p>
      <w:pPr>
        <w:spacing w:line="276" w:lineRule="auto"/>
        <w:ind w:firstLine="480" w:firstLineChars="200"/>
        <w:jc w:val="left"/>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4.角色及权限管理</w:t>
      </w:r>
    </w:p>
    <w:p>
      <w:pPr>
        <w:spacing w:line="360"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整个</w:t>
      </w:r>
      <w:r>
        <w:rPr>
          <w:rFonts w:ascii="宋体" w:hAnsi="宋体" w:cs="宋体"/>
          <w:color w:val="000000"/>
          <w:kern w:val="0"/>
          <w:sz w:val="24"/>
          <w:szCs w:val="24"/>
          <w:lang w:val="zh-CN"/>
        </w:rPr>
        <w:t>系统</w:t>
      </w:r>
      <w:r>
        <w:rPr>
          <w:rFonts w:hint="eastAsia" w:ascii="宋体" w:hAnsi="宋体" w:cs="宋体"/>
          <w:color w:val="000000"/>
          <w:kern w:val="0"/>
          <w:sz w:val="24"/>
          <w:szCs w:val="24"/>
          <w:lang w:val="zh-CN"/>
        </w:rPr>
        <w:t>分层</w:t>
      </w:r>
      <w:r>
        <w:rPr>
          <w:rFonts w:ascii="宋体" w:hAnsi="宋体" w:cs="宋体"/>
          <w:color w:val="000000"/>
          <w:kern w:val="0"/>
          <w:sz w:val="24"/>
          <w:szCs w:val="24"/>
          <w:lang w:val="zh-CN"/>
        </w:rPr>
        <w:t>管理，角色不同，权限不同。</w:t>
      </w:r>
      <w:r>
        <w:rPr>
          <w:rFonts w:hint="eastAsia" w:ascii="宋体" w:hAnsi="宋体" w:cs="宋体"/>
          <w:color w:val="000000"/>
          <w:kern w:val="0"/>
          <w:sz w:val="24"/>
          <w:szCs w:val="24"/>
          <w:lang w:val="zh-CN"/>
        </w:rPr>
        <w:t>手机端</w:t>
      </w:r>
      <w:r>
        <w:rPr>
          <w:rFonts w:ascii="宋体" w:hAnsi="宋体" w:cs="宋体"/>
          <w:color w:val="000000"/>
          <w:kern w:val="0"/>
          <w:sz w:val="24"/>
          <w:szCs w:val="24"/>
          <w:lang w:val="zh-CN"/>
        </w:rPr>
        <w:t>和</w:t>
      </w:r>
      <w:r>
        <w:rPr>
          <w:rFonts w:hint="eastAsia" w:ascii="宋体" w:hAnsi="宋体" w:cs="宋体"/>
          <w:color w:val="000000"/>
          <w:kern w:val="0"/>
          <w:sz w:val="24"/>
          <w:szCs w:val="24"/>
          <w:lang w:val="zh-CN"/>
        </w:rPr>
        <w:t>电脑</w:t>
      </w:r>
      <w:r>
        <w:rPr>
          <w:rFonts w:hint="eastAsia" w:ascii="宋体" w:hAnsi="宋体" w:cs="宋体"/>
          <w:color w:val="000000"/>
          <w:kern w:val="0"/>
          <w:sz w:val="24"/>
          <w:szCs w:val="24"/>
          <w:lang w:val="en-US" w:eastAsia="zh-CN"/>
        </w:rPr>
        <w:t>均</w:t>
      </w:r>
      <w:r>
        <w:rPr>
          <w:rFonts w:ascii="宋体" w:hAnsi="宋体" w:cs="宋体"/>
          <w:color w:val="000000"/>
          <w:kern w:val="0"/>
          <w:sz w:val="24"/>
          <w:szCs w:val="24"/>
          <w:lang w:val="zh-CN"/>
        </w:rPr>
        <w:t>可</w:t>
      </w:r>
      <w:r>
        <w:rPr>
          <w:rFonts w:hint="eastAsia" w:ascii="宋体" w:hAnsi="宋体" w:cs="宋体"/>
          <w:color w:val="000000"/>
          <w:kern w:val="0"/>
          <w:sz w:val="24"/>
          <w:szCs w:val="24"/>
          <w:lang w:val="zh-CN"/>
        </w:rPr>
        <w:t>使用。系统可以灵活设定多种角色，具体权限设定指定到角色而非个人。通过角色的组合来推导具体用户拥有的权限。</w:t>
      </w:r>
    </w:p>
    <w:p>
      <w:pPr>
        <w:spacing w:line="360"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注意本系统需要有数据管理范围维度的权限。此权限约定了用户可管理的数据范围（比如实验室、实验、学院等）。数据权限及功能权限需分开管理，组合交叉设定。</w:t>
      </w:r>
    </w:p>
    <w:p>
      <w:pPr>
        <w:spacing w:line="360"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权限设定时需避免繁杂，灵活高效。</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角色设置</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由</w:t>
      </w:r>
      <w:r>
        <w:rPr>
          <w:rFonts w:ascii="宋体" w:hAnsi="宋体" w:cs="宋体"/>
          <w:color w:val="000000"/>
          <w:kern w:val="0"/>
          <w:sz w:val="24"/>
          <w:szCs w:val="24"/>
          <w:lang w:val="zh-CN"/>
        </w:rPr>
        <w:t>系统管理</w:t>
      </w:r>
      <w:r>
        <w:rPr>
          <w:rFonts w:hint="eastAsia" w:ascii="宋体" w:hAnsi="宋体" w:cs="宋体"/>
          <w:color w:val="000000"/>
          <w:kern w:val="0"/>
          <w:sz w:val="24"/>
          <w:szCs w:val="24"/>
          <w:lang w:val="zh-CN"/>
        </w:rPr>
        <w:t>员</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超级</w:t>
      </w:r>
      <w:r>
        <w:rPr>
          <w:rFonts w:ascii="宋体" w:hAnsi="宋体" w:cs="宋体"/>
          <w:color w:val="000000"/>
          <w:kern w:val="0"/>
          <w:sz w:val="24"/>
          <w:szCs w:val="24"/>
          <w:lang w:val="zh-CN"/>
        </w:rPr>
        <w:t>管理员）</w:t>
      </w:r>
      <w:r>
        <w:rPr>
          <w:rFonts w:hint="eastAsia" w:ascii="宋体" w:hAnsi="宋体" w:cs="宋体"/>
          <w:color w:val="000000"/>
          <w:kern w:val="0"/>
          <w:sz w:val="24"/>
          <w:szCs w:val="24"/>
          <w:lang w:val="zh-CN"/>
        </w:rPr>
        <w:t>对</w:t>
      </w:r>
      <w:r>
        <w:rPr>
          <w:rFonts w:ascii="宋体" w:hAnsi="宋体" w:cs="宋体"/>
          <w:color w:val="000000"/>
          <w:kern w:val="0"/>
          <w:sz w:val="24"/>
          <w:szCs w:val="24"/>
          <w:lang w:val="zh-CN"/>
        </w:rPr>
        <w:t>所有人员</w:t>
      </w:r>
      <w:r>
        <w:rPr>
          <w:rFonts w:hint="eastAsia" w:ascii="宋体" w:hAnsi="宋体" w:cs="宋体"/>
          <w:color w:val="000000"/>
          <w:kern w:val="0"/>
          <w:sz w:val="24"/>
          <w:szCs w:val="24"/>
          <w:lang w:val="zh-CN"/>
        </w:rPr>
        <w:t>自行</w:t>
      </w:r>
      <w:r>
        <w:rPr>
          <w:rFonts w:ascii="宋体" w:hAnsi="宋体" w:cs="宋体"/>
          <w:color w:val="000000"/>
          <w:kern w:val="0"/>
          <w:sz w:val="24"/>
          <w:szCs w:val="24"/>
          <w:lang w:val="zh-CN"/>
        </w:rPr>
        <w:t>选择设置</w:t>
      </w:r>
      <w:r>
        <w:rPr>
          <w:rFonts w:hint="eastAsia" w:ascii="宋体" w:hAnsi="宋体" w:cs="宋体"/>
          <w:color w:val="000000"/>
          <w:kern w:val="0"/>
          <w:sz w:val="24"/>
          <w:szCs w:val="24"/>
          <w:lang w:val="zh-CN"/>
        </w:rPr>
        <w:t>角色；</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学生：</w:t>
      </w:r>
      <w:r>
        <w:rPr>
          <w:rFonts w:ascii="宋体" w:hAnsi="宋体" w:cs="宋体"/>
          <w:color w:val="000000"/>
          <w:kern w:val="0"/>
          <w:sz w:val="24"/>
          <w:szCs w:val="24"/>
          <w:lang w:val="zh-CN"/>
        </w:rPr>
        <w:t>查看所在</w:t>
      </w:r>
      <w:r>
        <w:rPr>
          <w:rFonts w:hint="eastAsia" w:ascii="宋体" w:hAnsi="宋体" w:cs="宋体"/>
          <w:color w:val="000000"/>
          <w:kern w:val="0"/>
          <w:sz w:val="24"/>
          <w:szCs w:val="24"/>
          <w:lang w:val="zh-CN"/>
        </w:rPr>
        <w:t>课题组</w:t>
      </w:r>
      <w:r>
        <w:rPr>
          <w:rFonts w:ascii="宋体" w:hAnsi="宋体" w:cs="宋体"/>
          <w:color w:val="000000"/>
          <w:kern w:val="0"/>
          <w:sz w:val="24"/>
          <w:szCs w:val="24"/>
          <w:lang w:val="zh-CN"/>
        </w:rPr>
        <w:t>及所在实验室的所有信息</w:t>
      </w:r>
      <w:r>
        <w:rPr>
          <w:rFonts w:hint="eastAsia" w:ascii="宋体" w:hAnsi="宋体" w:cs="宋体"/>
          <w:color w:val="000000"/>
          <w:kern w:val="0"/>
          <w:sz w:val="24"/>
          <w:szCs w:val="24"/>
          <w:lang w:val="zh-CN"/>
        </w:rPr>
        <w:t>；按照值班</w:t>
      </w:r>
      <w:r>
        <w:rPr>
          <w:rFonts w:ascii="宋体" w:hAnsi="宋体" w:cs="宋体"/>
          <w:color w:val="000000"/>
          <w:kern w:val="0"/>
          <w:sz w:val="24"/>
          <w:szCs w:val="24"/>
          <w:lang w:val="zh-CN"/>
        </w:rPr>
        <w:t>值日制度填写每日检查报告。</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教师</w:t>
      </w:r>
      <w:r>
        <w:rPr>
          <w:rFonts w:ascii="宋体" w:hAnsi="宋体" w:cs="宋体"/>
          <w:color w:val="000000"/>
          <w:kern w:val="0"/>
          <w:sz w:val="24"/>
          <w:szCs w:val="24"/>
          <w:lang w:val="zh-CN"/>
        </w:rPr>
        <w:t>：查看所在</w:t>
      </w:r>
      <w:r>
        <w:rPr>
          <w:rFonts w:hint="eastAsia" w:ascii="宋体" w:hAnsi="宋体" w:cs="宋体"/>
          <w:color w:val="000000"/>
          <w:kern w:val="0"/>
          <w:sz w:val="24"/>
          <w:szCs w:val="24"/>
          <w:lang w:val="zh-CN"/>
        </w:rPr>
        <w:t>课题组</w:t>
      </w:r>
      <w:r>
        <w:rPr>
          <w:rFonts w:ascii="宋体" w:hAnsi="宋体" w:cs="宋体"/>
          <w:color w:val="000000"/>
          <w:kern w:val="0"/>
          <w:sz w:val="24"/>
          <w:szCs w:val="24"/>
          <w:lang w:val="zh-CN"/>
        </w:rPr>
        <w:t>及所在实验室的所有信息</w:t>
      </w:r>
      <w:r>
        <w:rPr>
          <w:rFonts w:hint="eastAsia" w:ascii="宋体" w:hAnsi="宋体" w:cs="宋体"/>
          <w:color w:val="000000"/>
          <w:kern w:val="0"/>
          <w:sz w:val="24"/>
          <w:szCs w:val="24"/>
          <w:lang w:val="zh-CN"/>
        </w:rPr>
        <w:t>；</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实验室房间</w:t>
      </w:r>
      <w:r>
        <w:rPr>
          <w:rFonts w:ascii="宋体" w:hAnsi="宋体" w:cs="宋体"/>
          <w:color w:val="000000"/>
          <w:kern w:val="0"/>
          <w:sz w:val="24"/>
          <w:szCs w:val="24"/>
          <w:lang w:val="zh-CN"/>
        </w:rPr>
        <w:t>安全责任人：查看</w:t>
      </w:r>
      <w:r>
        <w:rPr>
          <w:rFonts w:hint="eastAsia" w:ascii="宋体" w:hAnsi="宋体" w:cs="宋体"/>
          <w:color w:val="000000"/>
          <w:kern w:val="0"/>
          <w:sz w:val="24"/>
          <w:szCs w:val="24"/>
          <w:lang w:val="zh-CN"/>
        </w:rPr>
        <w:t>、</w:t>
      </w:r>
      <w:r>
        <w:rPr>
          <w:rFonts w:ascii="宋体" w:hAnsi="宋体" w:cs="宋体"/>
          <w:color w:val="000000"/>
          <w:kern w:val="0"/>
          <w:sz w:val="24"/>
          <w:szCs w:val="24"/>
          <w:lang w:val="zh-CN"/>
        </w:rPr>
        <w:t>编辑所属实验室的所有信息；</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课题</w:t>
      </w:r>
      <w:r>
        <w:rPr>
          <w:rFonts w:ascii="宋体" w:hAnsi="宋体" w:cs="宋体"/>
          <w:color w:val="000000"/>
          <w:kern w:val="0"/>
          <w:sz w:val="24"/>
          <w:szCs w:val="24"/>
          <w:lang w:val="zh-CN"/>
        </w:rPr>
        <w:t>组负责人：查看</w:t>
      </w:r>
      <w:r>
        <w:rPr>
          <w:rFonts w:hint="eastAsia" w:ascii="宋体" w:hAnsi="宋体" w:cs="宋体"/>
          <w:color w:val="000000"/>
          <w:kern w:val="0"/>
          <w:sz w:val="24"/>
          <w:szCs w:val="24"/>
          <w:lang w:val="zh-CN"/>
        </w:rPr>
        <w:t>、</w:t>
      </w:r>
      <w:r>
        <w:rPr>
          <w:rFonts w:ascii="宋体" w:hAnsi="宋体" w:cs="宋体"/>
          <w:color w:val="000000"/>
          <w:kern w:val="0"/>
          <w:sz w:val="24"/>
          <w:szCs w:val="24"/>
          <w:lang w:val="zh-CN"/>
        </w:rPr>
        <w:t>编辑</w:t>
      </w:r>
      <w:r>
        <w:rPr>
          <w:rFonts w:hint="eastAsia" w:ascii="宋体" w:hAnsi="宋体" w:cs="宋体"/>
          <w:color w:val="000000"/>
          <w:kern w:val="0"/>
          <w:sz w:val="24"/>
          <w:szCs w:val="24"/>
          <w:lang w:val="zh-CN"/>
        </w:rPr>
        <w:t>、</w:t>
      </w:r>
      <w:r>
        <w:rPr>
          <w:rFonts w:ascii="宋体" w:hAnsi="宋体" w:cs="宋体"/>
          <w:color w:val="000000"/>
          <w:kern w:val="0"/>
          <w:sz w:val="24"/>
          <w:szCs w:val="24"/>
          <w:lang w:val="zh-CN"/>
        </w:rPr>
        <w:t>审核</w:t>
      </w:r>
      <w:r>
        <w:rPr>
          <w:rFonts w:hint="eastAsia" w:ascii="宋体" w:hAnsi="宋体" w:cs="宋体"/>
          <w:color w:val="000000"/>
          <w:kern w:val="0"/>
          <w:sz w:val="24"/>
          <w:szCs w:val="24"/>
          <w:lang w:val="zh-CN"/>
        </w:rPr>
        <w:t>所</w:t>
      </w:r>
      <w:r>
        <w:rPr>
          <w:rFonts w:ascii="宋体" w:hAnsi="宋体" w:cs="宋体"/>
          <w:color w:val="000000"/>
          <w:kern w:val="0"/>
          <w:sz w:val="24"/>
          <w:szCs w:val="24"/>
          <w:lang w:val="zh-CN"/>
        </w:rPr>
        <w:t>属课题组</w:t>
      </w:r>
      <w:r>
        <w:rPr>
          <w:rFonts w:hint="eastAsia" w:ascii="宋体" w:hAnsi="宋体" w:cs="宋体"/>
          <w:color w:val="000000"/>
          <w:kern w:val="0"/>
          <w:sz w:val="24"/>
          <w:szCs w:val="24"/>
          <w:lang w:val="zh-CN"/>
        </w:rPr>
        <w:t>所有</w:t>
      </w:r>
      <w:r>
        <w:rPr>
          <w:rFonts w:ascii="宋体" w:hAnsi="宋体" w:cs="宋体"/>
          <w:color w:val="000000"/>
          <w:kern w:val="0"/>
          <w:sz w:val="24"/>
          <w:szCs w:val="24"/>
          <w:lang w:val="zh-CN"/>
        </w:rPr>
        <w:t>实验室信息</w:t>
      </w:r>
      <w:r>
        <w:rPr>
          <w:rFonts w:hint="eastAsia" w:ascii="宋体" w:hAnsi="宋体" w:cs="宋体"/>
          <w:color w:val="000000"/>
          <w:kern w:val="0"/>
          <w:sz w:val="24"/>
          <w:szCs w:val="24"/>
          <w:lang w:val="zh-CN"/>
        </w:rPr>
        <w:t>；</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实验</w:t>
      </w:r>
      <w:r>
        <w:rPr>
          <w:rFonts w:ascii="宋体" w:hAnsi="宋体" w:cs="宋体"/>
          <w:color w:val="000000"/>
          <w:kern w:val="0"/>
          <w:sz w:val="24"/>
          <w:szCs w:val="24"/>
          <w:lang w:val="zh-CN"/>
        </w:rPr>
        <w:t>中心（</w:t>
      </w:r>
      <w:r>
        <w:rPr>
          <w:rFonts w:hint="eastAsia" w:ascii="宋体" w:hAnsi="宋体" w:cs="宋体"/>
          <w:color w:val="000000"/>
          <w:kern w:val="0"/>
          <w:sz w:val="24"/>
          <w:szCs w:val="24"/>
          <w:lang w:val="zh-CN"/>
        </w:rPr>
        <w:t>平台</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负责人</w:t>
      </w:r>
      <w:r>
        <w:rPr>
          <w:rFonts w:ascii="宋体" w:hAnsi="宋体" w:cs="宋体"/>
          <w:color w:val="000000"/>
          <w:kern w:val="0"/>
          <w:sz w:val="24"/>
          <w:szCs w:val="24"/>
          <w:lang w:val="zh-CN"/>
        </w:rPr>
        <w:t>：查看</w:t>
      </w:r>
      <w:r>
        <w:rPr>
          <w:rFonts w:hint="eastAsia" w:ascii="宋体" w:hAnsi="宋体" w:cs="宋体"/>
          <w:color w:val="000000"/>
          <w:kern w:val="0"/>
          <w:sz w:val="24"/>
          <w:szCs w:val="24"/>
          <w:lang w:val="zh-CN"/>
        </w:rPr>
        <w:t>、</w:t>
      </w:r>
      <w:r>
        <w:rPr>
          <w:rFonts w:ascii="宋体" w:hAnsi="宋体" w:cs="宋体"/>
          <w:color w:val="000000"/>
          <w:kern w:val="0"/>
          <w:sz w:val="24"/>
          <w:szCs w:val="24"/>
          <w:lang w:val="zh-CN"/>
        </w:rPr>
        <w:t>审核</w:t>
      </w:r>
      <w:r>
        <w:rPr>
          <w:rFonts w:hint="eastAsia" w:ascii="宋体" w:hAnsi="宋体" w:cs="宋体"/>
          <w:color w:val="000000"/>
          <w:kern w:val="0"/>
          <w:sz w:val="24"/>
          <w:szCs w:val="24"/>
          <w:lang w:val="zh-CN"/>
        </w:rPr>
        <w:t>所属中心</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平台</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所有</w:t>
      </w:r>
      <w:r>
        <w:rPr>
          <w:rFonts w:ascii="宋体" w:hAnsi="宋体" w:cs="宋体"/>
          <w:color w:val="000000"/>
          <w:kern w:val="0"/>
          <w:sz w:val="24"/>
          <w:szCs w:val="24"/>
          <w:lang w:val="zh-CN"/>
        </w:rPr>
        <w:t>实验室信息；</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学院</w:t>
      </w:r>
      <w:r>
        <w:rPr>
          <w:rFonts w:ascii="宋体" w:hAnsi="宋体" w:cs="宋体"/>
          <w:color w:val="000000"/>
          <w:kern w:val="0"/>
          <w:sz w:val="24"/>
          <w:szCs w:val="24"/>
          <w:lang w:val="zh-CN"/>
        </w:rPr>
        <w:t>安全员：</w:t>
      </w:r>
      <w:r>
        <w:rPr>
          <w:rFonts w:hint="eastAsia" w:ascii="宋体" w:hAnsi="宋体" w:cs="宋体"/>
          <w:color w:val="000000"/>
          <w:kern w:val="0"/>
          <w:sz w:val="24"/>
          <w:szCs w:val="24"/>
          <w:lang w:val="zh-CN"/>
        </w:rPr>
        <w:t>查看</w:t>
      </w:r>
      <w:r>
        <w:rPr>
          <w:rFonts w:ascii="宋体" w:hAnsi="宋体" w:cs="宋体"/>
          <w:color w:val="000000"/>
          <w:kern w:val="0"/>
          <w:sz w:val="24"/>
          <w:szCs w:val="24"/>
          <w:lang w:val="zh-CN"/>
        </w:rPr>
        <w:t>、编辑</w:t>
      </w:r>
      <w:r>
        <w:rPr>
          <w:rFonts w:hint="eastAsia" w:ascii="宋体" w:hAnsi="宋体" w:cs="宋体"/>
          <w:color w:val="000000"/>
          <w:kern w:val="0"/>
          <w:sz w:val="24"/>
          <w:szCs w:val="24"/>
          <w:lang w:val="zh-CN"/>
        </w:rPr>
        <w:t>、</w:t>
      </w:r>
      <w:r>
        <w:rPr>
          <w:rFonts w:ascii="宋体" w:hAnsi="宋体" w:cs="宋体"/>
          <w:color w:val="000000"/>
          <w:kern w:val="0"/>
          <w:sz w:val="24"/>
          <w:szCs w:val="24"/>
          <w:lang w:val="zh-CN"/>
        </w:rPr>
        <w:t>审核本学院</w:t>
      </w:r>
      <w:r>
        <w:rPr>
          <w:rFonts w:hint="eastAsia" w:ascii="宋体" w:hAnsi="宋体" w:cs="宋体"/>
          <w:color w:val="000000"/>
          <w:kern w:val="0"/>
          <w:sz w:val="24"/>
          <w:szCs w:val="24"/>
          <w:lang w:val="zh-CN"/>
        </w:rPr>
        <w:t>所有</w:t>
      </w:r>
      <w:r>
        <w:rPr>
          <w:rFonts w:ascii="宋体" w:hAnsi="宋体" w:cs="宋体"/>
          <w:color w:val="000000"/>
          <w:kern w:val="0"/>
          <w:sz w:val="24"/>
          <w:szCs w:val="24"/>
          <w:lang w:val="zh-CN"/>
        </w:rPr>
        <w:t>实验室信息</w:t>
      </w:r>
      <w:r>
        <w:rPr>
          <w:rFonts w:hint="eastAsia" w:ascii="宋体" w:hAnsi="宋体" w:cs="宋体"/>
          <w:color w:val="000000"/>
          <w:kern w:val="0"/>
          <w:sz w:val="24"/>
          <w:szCs w:val="24"/>
          <w:lang w:val="zh-CN"/>
        </w:rPr>
        <w:t>及</w:t>
      </w:r>
      <w:r>
        <w:rPr>
          <w:rFonts w:ascii="宋体" w:hAnsi="宋体" w:cs="宋体"/>
          <w:color w:val="000000"/>
          <w:kern w:val="0"/>
          <w:sz w:val="24"/>
          <w:szCs w:val="24"/>
          <w:lang w:val="zh-CN"/>
        </w:rPr>
        <w:t>相关台账</w:t>
      </w:r>
      <w:r>
        <w:rPr>
          <w:rFonts w:hint="eastAsia" w:ascii="宋体" w:hAnsi="宋体" w:cs="宋体"/>
          <w:color w:val="000000"/>
          <w:kern w:val="0"/>
          <w:sz w:val="24"/>
          <w:szCs w:val="24"/>
          <w:lang w:val="zh-CN"/>
        </w:rPr>
        <w:t>；对</w:t>
      </w:r>
      <w:r>
        <w:rPr>
          <w:rFonts w:ascii="宋体" w:hAnsi="宋体" w:cs="宋体"/>
          <w:color w:val="000000"/>
          <w:kern w:val="0"/>
          <w:sz w:val="24"/>
          <w:szCs w:val="24"/>
          <w:lang w:val="zh-CN"/>
        </w:rPr>
        <w:t>相关报表填报、提交</w:t>
      </w:r>
      <w:r>
        <w:rPr>
          <w:rFonts w:hint="eastAsia" w:ascii="宋体" w:hAnsi="宋体" w:cs="宋体"/>
          <w:color w:val="000000"/>
          <w:kern w:val="0"/>
          <w:sz w:val="24"/>
          <w:szCs w:val="24"/>
          <w:lang w:val="zh-CN"/>
        </w:rPr>
        <w:t>，</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学院</w:t>
      </w:r>
      <w:r>
        <w:rPr>
          <w:rFonts w:ascii="宋体" w:hAnsi="宋体" w:cs="宋体"/>
          <w:color w:val="000000"/>
          <w:kern w:val="0"/>
          <w:sz w:val="24"/>
          <w:szCs w:val="24"/>
          <w:lang w:val="zh-CN"/>
        </w:rPr>
        <w:t>分管领导：</w:t>
      </w:r>
      <w:r>
        <w:rPr>
          <w:rFonts w:hint="eastAsia" w:ascii="宋体" w:hAnsi="宋体" w:cs="宋体"/>
          <w:color w:val="000000"/>
          <w:kern w:val="0"/>
          <w:sz w:val="24"/>
          <w:szCs w:val="24"/>
          <w:lang w:val="zh-CN"/>
        </w:rPr>
        <w:t>查看、</w:t>
      </w:r>
      <w:r>
        <w:rPr>
          <w:rFonts w:ascii="宋体" w:hAnsi="宋体" w:cs="宋体"/>
          <w:color w:val="000000"/>
          <w:kern w:val="0"/>
          <w:sz w:val="24"/>
          <w:szCs w:val="24"/>
          <w:lang w:val="zh-CN"/>
        </w:rPr>
        <w:t>审核本学院</w:t>
      </w:r>
      <w:r>
        <w:rPr>
          <w:rFonts w:hint="eastAsia" w:ascii="宋体" w:hAnsi="宋体" w:cs="宋体"/>
          <w:color w:val="000000"/>
          <w:kern w:val="0"/>
          <w:sz w:val="24"/>
          <w:szCs w:val="24"/>
          <w:lang w:val="zh-CN"/>
        </w:rPr>
        <w:t>所有</w:t>
      </w:r>
      <w:r>
        <w:rPr>
          <w:rFonts w:ascii="宋体" w:hAnsi="宋体" w:cs="宋体"/>
          <w:color w:val="000000"/>
          <w:kern w:val="0"/>
          <w:sz w:val="24"/>
          <w:szCs w:val="24"/>
          <w:lang w:val="zh-CN"/>
        </w:rPr>
        <w:t>实验室信息</w:t>
      </w:r>
      <w:r>
        <w:rPr>
          <w:rFonts w:hint="eastAsia" w:ascii="宋体" w:hAnsi="宋体" w:cs="宋体"/>
          <w:color w:val="000000"/>
          <w:kern w:val="0"/>
          <w:sz w:val="24"/>
          <w:szCs w:val="24"/>
          <w:lang w:val="zh-CN"/>
        </w:rPr>
        <w:t>；</w:t>
      </w:r>
    </w:p>
    <w:p>
      <w:pPr>
        <w:adjustRightInd w:val="0"/>
        <w:snapToGrid w:val="0"/>
        <w:spacing w:line="276" w:lineRule="auto"/>
        <w:ind w:firstLine="480" w:firstLineChars="200"/>
        <w:jc w:val="lef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学院院长书记：查看、审核本学院所有实验室信息；</w:t>
      </w:r>
    </w:p>
    <w:p>
      <w:pPr>
        <w:adjustRightInd w:val="0"/>
        <w:snapToGrid w:val="0"/>
        <w:spacing w:line="276" w:lineRule="auto"/>
        <w:ind w:firstLine="480" w:firstLineChars="200"/>
        <w:jc w:val="lef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实验室处管理员：查看、编辑、审核；</w:t>
      </w:r>
    </w:p>
    <w:p>
      <w:pPr>
        <w:adjustRightInd w:val="0"/>
        <w:snapToGrid w:val="0"/>
        <w:spacing w:line="276" w:lineRule="auto"/>
        <w:ind w:firstLine="480" w:firstLineChars="200"/>
        <w:jc w:val="lef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实验室处领导：查看、审核；</w:t>
      </w:r>
    </w:p>
    <w:p>
      <w:pPr>
        <w:adjustRightInd w:val="0"/>
        <w:snapToGrid w:val="0"/>
        <w:spacing w:line="276" w:lineRule="auto"/>
        <w:ind w:firstLine="480" w:firstLineChars="200"/>
        <w:jc w:val="left"/>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超级管理员：查看所有信息；编辑所有信息。</w:t>
      </w:r>
    </w:p>
    <w:p>
      <w:pPr>
        <w:spacing w:line="276" w:lineRule="auto"/>
        <w:ind w:firstLine="480" w:firstLineChars="200"/>
        <w:jc w:val="left"/>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en-US" w:eastAsia="zh-CN" w:bidi="ar-SA"/>
        </w:rPr>
        <w:t>5.</w:t>
      </w:r>
      <w:r>
        <w:rPr>
          <w:rFonts w:hint="eastAsia" w:ascii="宋体" w:hAnsi="宋体" w:eastAsia="宋体" w:cs="宋体"/>
          <w:color w:val="000000"/>
          <w:kern w:val="0"/>
          <w:sz w:val="24"/>
          <w:szCs w:val="24"/>
          <w:lang w:val="zh-CN" w:eastAsia="zh-CN" w:bidi="ar-SA"/>
        </w:rPr>
        <w:t>日志管理</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系统</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包含Web端及手机端及其它可能模块)都必须具备详尽的操作日志供审计使用，操作日志需建立后保持原始状态，严禁任何篡改。</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管理界面需按照数据权限支持分页显示、检索、导出报表等操作。</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日志可按年度进行归档、备份，系统需随时高效查阅最近</w:t>
      </w:r>
      <w:r>
        <w:rPr>
          <w:rFonts w:ascii="宋体" w:hAnsi="宋体" w:cs="宋体"/>
          <w:color w:val="000000"/>
          <w:kern w:val="0"/>
          <w:sz w:val="24"/>
          <w:szCs w:val="24"/>
          <w:lang w:val="zh-CN"/>
        </w:rPr>
        <w:t>12</w:t>
      </w:r>
      <w:r>
        <w:rPr>
          <w:rFonts w:hint="eastAsia" w:ascii="宋体" w:hAnsi="宋体" w:cs="宋体"/>
          <w:color w:val="000000"/>
          <w:kern w:val="0"/>
          <w:sz w:val="24"/>
          <w:szCs w:val="24"/>
          <w:lang w:val="zh-CN"/>
        </w:rPr>
        <w:t>月内的所有信息。</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6.安全等级管理</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我校实验室实行安全等级分类动态管理规则。系统中需定义【安全等级】以及安全等级所需量化考核计分的细节、分数等进行管理。等级规则可随时调整，更改后立刻生效或者设定指定日期后生效。</w:t>
      </w:r>
    </w:p>
    <w:p>
      <w:pPr>
        <w:adjustRightInd w:val="0"/>
        <w:snapToGrid w:val="0"/>
        <w:spacing w:line="276" w:lineRule="auto"/>
        <w:ind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7.实验室</w:t>
      </w:r>
      <w:r>
        <w:rPr>
          <w:rFonts w:ascii="宋体" w:hAnsi="宋体" w:cs="宋体"/>
          <w:color w:val="000000"/>
          <w:kern w:val="0"/>
          <w:sz w:val="24"/>
          <w:szCs w:val="24"/>
          <w:lang w:val="zh-CN"/>
        </w:rPr>
        <w:t>检查流程管理</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（1）建立</w:t>
      </w:r>
      <w:r>
        <w:rPr>
          <w:rFonts w:ascii="宋体" w:hAnsi="宋体" w:cs="宋体"/>
          <w:color w:val="000000"/>
          <w:kern w:val="0"/>
          <w:sz w:val="24"/>
          <w:szCs w:val="24"/>
          <w:lang w:val="zh-CN"/>
        </w:rPr>
        <w:t>检查任务</w:t>
      </w:r>
      <w:r>
        <w:rPr>
          <w:rFonts w:hint="eastAsia" w:ascii="宋体" w:hAnsi="宋体" w:cs="宋体"/>
          <w:color w:val="000000"/>
          <w:kern w:val="0"/>
          <w:sz w:val="24"/>
          <w:szCs w:val="24"/>
          <w:lang w:val="zh-CN"/>
        </w:rPr>
        <w:t>：</w:t>
      </w:r>
      <w:r>
        <w:rPr>
          <w:rFonts w:ascii="宋体" w:hAnsi="宋体" w:cs="宋体"/>
          <w:color w:val="000000"/>
          <w:kern w:val="0"/>
          <w:sz w:val="24"/>
          <w:szCs w:val="24"/>
          <w:lang w:val="zh-CN"/>
        </w:rPr>
        <w:t>设置检查时间，选定检查对象</w:t>
      </w:r>
      <w:r>
        <w:rPr>
          <w:rFonts w:hint="eastAsia" w:ascii="宋体" w:hAnsi="宋体" w:cs="宋体"/>
          <w:color w:val="000000"/>
          <w:kern w:val="0"/>
          <w:sz w:val="24"/>
          <w:szCs w:val="24"/>
          <w:lang w:val="zh-CN"/>
        </w:rPr>
        <w:t>。</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（2）执行</w:t>
      </w:r>
      <w:r>
        <w:rPr>
          <w:rFonts w:ascii="宋体" w:hAnsi="宋体" w:cs="宋体"/>
          <w:color w:val="000000"/>
          <w:kern w:val="0"/>
          <w:sz w:val="24"/>
          <w:szCs w:val="24"/>
          <w:lang w:val="zh-CN"/>
        </w:rPr>
        <w:t>检查：</w:t>
      </w:r>
      <w:r>
        <w:rPr>
          <w:rFonts w:hint="eastAsia" w:ascii="宋体" w:hAnsi="宋体" w:cs="宋体"/>
          <w:color w:val="000000"/>
          <w:kern w:val="0"/>
          <w:sz w:val="24"/>
          <w:szCs w:val="24"/>
          <w:lang w:val="zh-CN"/>
        </w:rPr>
        <w:t>小程序</w:t>
      </w:r>
      <w:r>
        <w:rPr>
          <w:rFonts w:ascii="宋体" w:hAnsi="宋体" w:cs="宋体"/>
          <w:color w:val="000000"/>
          <w:kern w:val="0"/>
          <w:sz w:val="24"/>
          <w:szCs w:val="24"/>
          <w:lang w:val="zh-CN"/>
        </w:rPr>
        <w:t>端选择检查对象，</w:t>
      </w:r>
      <w:r>
        <w:rPr>
          <w:rFonts w:hint="eastAsia" w:ascii="宋体" w:hAnsi="宋体" w:cs="宋体"/>
          <w:color w:val="000000"/>
          <w:kern w:val="0"/>
          <w:sz w:val="24"/>
          <w:szCs w:val="24"/>
          <w:lang w:val="zh-CN"/>
        </w:rPr>
        <w:t>隐患</w:t>
      </w:r>
      <w:r>
        <w:rPr>
          <w:rFonts w:ascii="宋体" w:hAnsi="宋体" w:cs="宋体"/>
          <w:color w:val="000000"/>
          <w:kern w:val="0"/>
          <w:sz w:val="24"/>
          <w:szCs w:val="24"/>
          <w:lang w:val="zh-CN"/>
        </w:rPr>
        <w:t>描述</w:t>
      </w:r>
      <w:r>
        <w:rPr>
          <w:rFonts w:hint="eastAsia" w:ascii="宋体" w:hAnsi="宋体" w:cs="宋体"/>
          <w:color w:val="000000"/>
          <w:kern w:val="0"/>
          <w:sz w:val="24"/>
          <w:szCs w:val="24"/>
          <w:lang w:val="zh-CN"/>
        </w:rPr>
        <w:t>（可</w:t>
      </w:r>
      <w:r>
        <w:rPr>
          <w:rFonts w:ascii="宋体" w:hAnsi="宋体" w:cs="宋体"/>
          <w:color w:val="000000"/>
          <w:kern w:val="0"/>
          <w:sz w:val="24"/>
          <w:szCs w:val="24"/>
          <w:lang w:val="zh-CN"/>
        </w:rPr>
        <w:t>语音输入转为文字</w:t>
      </w:r>
      <w:r>
        <w:rPr>
          <w:rFonts w:hint="eastAsia" w:ascii="宋体" w:hAnsi="宋体" w:cs="宋体"/>
          <w:color w:val="000000"/>
          <w:kern w:val="0"/>
          <w:sz w:val="24"/>
          <w:szCs w:val="24"/>
          <w:lang w:val="zh-CN"/>
        </w:rPr>
        <w:t>）</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对隐患直接</w:t>
      </w:r>
      <w:r>
        <w:rPr>
          <w:rFonts w:ascii="宋体" w:hAnsi="宋体" w:cs="宋体"/>
          <w:color w:val="000000"/>
          <w:kern w:val="0"/>
          <w:sz w:val="24"/>
          <w:szCs w:val="24"/>
          <w:lang w:val="zh-CN"/>
        </w:rPr>
        <w:t>拍照或上传照片，</w:t>
      </w:r>
      <w:r>
        <w:rPr>
          <w:rFonts w:hint="eastAsia" w:ascii="宋体" w:hAnsi="宋体" w:cs="宋体"/>
          <w:color w:val="000000"/>
          <w:kern w:val="0"/>
          <w:sz w:val="24"/>
          <w:szCs w:val="24"/>
          <w:lang w:val="zh-CN"/>
        </w:rPr>
        <w:t>对照</w:t>
      </w:r>
      <w:r>
        <w:rPr>
          <w:rFonts w:ascii="宋体" w:hAnsi="宋体" w:cs="宋体"/>
          <w:color w:val="000000"/>
          <w:kern w:val="0"/>
          <w:sz w:val="24"/>
          <w:szCs w:val="24"/>
          <w:lang w:val="zh-CN"/>
        </w:rPr>
        <w:t>计分项目表选择计分对象</w:t>
      </w:r>
      <w:r>
        <w:rPr>
          <w:rFonts w:hint="eastAsia" w:ascii="宋体" w:hAnsi="宋体" w:cs="宋体"/>
          <w:color w:val="000000"/>
          <w:kern w:val="0"/>
          <w:sz w:val="24"/>
          <w:szCs w:val="24"/>
          <w:lang w:val="zh-CN"/>
        </w:rPr>
        <w:t>进行</w:t>
      </w:r>
      <w:r>
        <w:rPr>
          <w:rFonts w:ascii="宋体" w:hAnsi="宋体" w:cs="宋体"/>
          <w:color w:val="000000"/>
          <w:kern w:val="0"/>
          <w:sz w:val="24"/>
          <w:szCs w:val="24"/>
          <w:lang w:val="zh-CN"/>
        </w:rPr>
        <w:t>计分操作</w:t>
      </w:r>
      <w:r>
        <w:rPr>
          <w:rFonts w:hint="eastAsia" w:ascii="宋体" w:hAnsi="宋体" w:cs="宋体"/>
          <w:color w:val="000000"/>
          <w:kern w:val="0"/>
          <w:sz w:val="24"/>
          <w:szCs w:val="24"/>
          <w:lang w:val="zh-CN"/>
        </w:rPr>
        <w:t>（计分</w:t>
      </w:r>
      <w:r>
        <w:rPr>
          <w:rFonts w:ascii="宋体" w:hAnsi="宋体" w:cs="宋体"/>
          <w:color w:val="000000"/>
          <w:kern w:val="0"/>
          <w:sz w:val="24"/>
          <w:szCs w:val="24"/>
          <w:lang w:val="zh-CN"/>
        </w:rPr>
        <w:t>操作可</w:t>
      </w:r>
      <w:r>
        <w:rPr>
          <w:rFonts w:hint="eastAsia" w:ascii="宋体" w:hAnsi="宋体" w:cs="宋体"/>
          <w:color w:val="000000"/>
          <w:kern w:val="0"/>
          <w:sz w:val="24"/>
          <w:szCs w:val="24"/>
          <w:lang w:val="zh-CN"/>
        </w:rPr>
        <w:t>在</w:t>
      </w:r>
      <w:r>
        <w:rPr>
          <w:rFonts w:ascii="宋体" w:hAnsi="宋体" w:cs="宋体"/>
          <w:color w:val="000000"/>
          <w:kern w:val="0"/>
          <w:sz w:val="24"/>
          <w:szCs w:val="24"/>
          <w:lang w:val="zh-CN"/>
        </w:rPr>
        <w:t>检查</w:t>
      </w:r>
      <w:r>
        <w:rPr>
          <w:rFonts w:hint="eastAsia" w:ascii="宋体" w:hAnsi="宋体" w:cs="宋体"/>
          <w:color w:val="000000"/>
          <w:kern w:val="0"/>
          <w:sz w:val="24"/>
          <w:szCs w:val="24"/>
          <w:lang w:val="zh-CN"/>
        </w:rPr>
        <w:t>结束</w:t>
      </w:r>
      <w:r>
        <w:rPr>
          <w:rFonts w:ascii="宋体" w:hAnsi="宋体" w:cs="宋体"/>
          <w:color w:val="000000"/>
          <w:kern w:val="0"/>
          <w:sz w:val="24"/>
          <w:szCs w:val="24"/>
          <w:lang w:val="zh-CN"/>
        </w:rPr>
        <w:t>后统一操作</w:t>
      </w:r>
      <w:r>
        <w:rPr>
          <w:rFonts w:hint="eastAsia" w:ascii="宋体" w:hAnsi="宋体" w:cs="宋体"/>
          <w:color w:val="000000"/>
          <w:kern w:val="0"/>
          <w:sz w:val="24"/>
          <w:szCs w:val="24"/>
          <w:lang w:val="zh-CN"/>
        </w:rPr>
        <w:t>）、</w:t>
      </w:r>
      <w:r>
        <w:rPr>
          <w:rFonts w:ascii="宋体" w:hAnsi="宋体" w:cs="宋体"/>
          <w:color w:val="000000"/>
          <w:kern w:val="0"/>
          <w:sz w:val="24"/>
          <w:szCs w:val="24"/>
          <w:lang w:val="zh-CN"/>
        </w:rPr>
        <w:t>选择</w:t>
      </w:r>
      <w:r>
        <w:rPr>
          <w:rFonts w:hint="eastAsia" w:ascii="宋体" w:hAnsi="宋体" w:cs="宋体"/>
          <w:color w:val="000000"/>
          <w:kern w:val="0"/>
          <w:sz w:val="24"/>
          <w:szCs w:val="24"/>
          <w:lang w:val="zh-CN"/>
        </w:rPr>
        <w:t>整改</w:t>
      </w:r>
      <w:r>
        <w:rPr>
          <w:rFonts w:ascii="宋体" w:hAnsi="宋体" w:cs="宋体"/>
          <w:color w:val="000000"/>
          <w:kern w:val="0"/>
          <w:sz w:val="24"/>
          <w:szCs w:val="24"/>
          <w:lang w:val="zh-CN"/>
        </w:rPr>
        <w:t>完成</w:t>
      </w:r>
      <w:r>
        <w:rPr>
          <w:rFonts w:hint="eastAsia" w:ascii="宋体" w:hAnsi="宋体" w:cs="宋体"/>
          <w:color w:val="000000"/>
          <w:kern w:val="0"/>
          <w:sz w:val="24"/>
          <w:szCs w:val="24"/>
          <w:lang w:val="zh-CN"/>
        </w:rPr>
        <w:t>时间</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有</w:t>
      </w:r>
      <w:r>
        <w:rPr>
          <w:rFonts w:ascii="宋体" w:hAnsi="宋体" w:cs="宋体"/>
          <w:color w:val="000000"/>
          <w:kern w:val="0"/>
          <w:sz w:val="24"/>
          <w:szCs w:val="24"/>
          <w:lang w:val="zh-CN"/>
        </w:rPr>
        <w:t>消息推送功能，</w:t>
      </w:r>
      <w:r>
        <w:rPr>
          <w:rFonts w:hint="eastAsia" w:ascii="宋体" w:hAnsi="宋体" w:cs="宋体"/>
          <w:color w:val="000000"/>
          <w:kern w:val="0"/>
          <w:sz w:val="24"/>
          <w:szCs w:val="24"/>
          <w:lang w:val="zh-CN"/>
        </w:rPr>
        <w:t>检查</w:t>
      </w:r>
      <w:r>
        <w:rPr>
          <w:rFonts w:ascii="宋体" w:hAnsi="宋体" w:cs="宋体"/>
          <w:color w:val="000000"/>
          <w:kern w:val="0"/>
          <w:sz w:val="24"/>
          <w:szCs w:val="24"/>
          <w:lang w:val="zh-CN"/>
        </w:rPr>
        <w:t>后对实验室房间安全责任人推送</w:t>
      </w:r>
      <w:r>
        <w:rPr>
          <w:rFonts w:hint="eastAsia" w:ascii="宋体" w:hAnsi="宋体" w:cs="宋体"/>
          <w:color w:val="000000"/>
          <w:kern w:val="0"/>
          <w:sz w:val="24"/>
          <w:szCs w:val="24"/>
          <w:lang w:val="zh-CN"/>
        </w:rPr>
        <w:t>被</w:t>
      </w:r>
      <w:r>
        <w:rPr>
          <w:rFonts w:ascii="宋体" w:hAnsi="宋体" w:cs="宋体"/>
          <w:color w:val="000000"/>
          <w:kern w:val="0"/>
          <w:sz w:val="24"/>
          <w:szCs w:val="24"/>
          <w:lang w:val="zh-CN"/>
        </w:rPr>
        <w:t>查消息，提醒整改。</w:t>
      </w:r>
    </w:p>
    <w:p>
      <w:pPr>
        <w:adjustRightInd w:val="0"/>
        <w:snapToGrid w:val="0"/>
        <w:spacing w:line="276" w:lineRule="auto"/>
        <w:ind w:firstLine="480" w:firstLineChars="200"/>
        <w:jc w:val="left"/>
        <w:rPr>
          <w:rFonts w:hint="default" w:ascii="宋体" w:hAnsi="宋体" w:cs="宋体"/>
          <w:color w:val="000000"/>
          <w:kern w:val="0"/>
          <w:sz w:val="24"/>
          <w:szCs w:val="24"/>
          <w:lang w:val="en-US"/>
        </w:rPr>
      </w:pPr>
      <w:r>
        <w:rPr>
          <w:rFonts w:hint="eastAsia" w:ascii="宋体" w:hAnsi="宋体" w:cs="宋体"/>
          <w:color w:val="000000"/>
          <w:kern w:val="0"/>
          <w:sz w:val="24"/>
          <w:szCs w:val="24"/>
          <w:lang w:val="zh-CN"/>
        </w:rPr>
        <w:t>（3）隐患</w:t>
      </w:r>
      <w:r>
        <w:rPr>
          <w:rFonts w:ascii="宋体" w:hAnsi="宋体" w:cs="宋体"/>
          <w:color w:val="000000"/>
          <w:kern w:val="0"/>
          <w:sz w:val="24"/>
          <w:szCs w:val="24"/>
          <w:lang w:val="zh-CN"/>
        </w:rPr>
        <w:t>整改：实验室</w:t>
      </w:r>
      <w:r>
        <w:rPr>
          <w:rFonts w:hint="eastAsia" w:ascii="宋体" w:hAnsi="宋体" w:cs="宋体"/>
          <w:color w:val="000000"/>
          <w:kern w:val="0"/>
          <w:sz w:val="24"/>
          <w:szCs w:val="24"/>
          <w:lang w:val="zh-CN"/>
        </w:rPr>
        <w:t>房间安全</w:t>
      </w:r>
      <w:r>
        <w:rPr>
          <w:rFonts w:ascii="宋体" w:hAnsi="宋体" w:cs="宋体"/>
          <w:color w:val="000000"/>
          <w:kern w:val="0"/>
          <w:sz w:val="24"/>
          <w:szCs w:val="24"/>
          <w:lang w:val="zh-CN"/>
        </w:rPr>
        <w:t>责任人上传整改照片，对整改情况进行描述，</w:t>
      </w:r>
      <w:r>
        <w:rPr>
          <w:rFonts w:hint="eastAsia" w:ascii="宋体" w:hAnsi="宋体" w:cs="宋体"/>
          <w:color w:val="000000"/>
          <w:kern w:val="0"/>
          <w:sz w:val="24"/>
          <w:szCs w:val="24"/>
          <w:lang w:val="zh-CN"/>
        </w:rPr>
        <w:t>由</w:t>
      </w:r>
      <w:r>
        <w:rPr>
          <w:rFonts w:ascii="宋体" w:hAnsi="宋体" w:cs="宋体"/>
          <w:color w:val="000000"/>
          <w:kern w:val="0"/>
          <w:sz w:val="24"/>
          <w:szCs w:val="24"/>
          <w:lang w:val="zh-CN"/>
        </w:rPr>
        <w:t>学院安全</w:t>
      </w:r>
      <w:r>
        <w:rPr>
          <w:rFonts w:hint="eastAsia" w:ascii="宋体" w:hAnsi="宋体" w:cs="宋体"/>
          <w:color w:val="000000"/>
          <w:kern w:val="0"/>
          <w:sz w:val="24"/>
          <w:szCs w:val="24"/>
          <w:lang w:val="zh-CN"/>
        </w:rPr>
        <w:t>员</w:t>
      </w:r>
      <w:r>
        <w:rPr>
          <w:rFonts w:ascii="宋体" w:hAnsi="宋体" w:cs="宋体"/>
          <w:color w:val="000000"/>
          <w:kern w:val="0"/>
          <w:sz w:val="24"/>
          <w:szCs w:val="24"/>
          <w:lang w:val="zh-CN"/>
        </w:rPr>
        <w:t>和分管领导审核，</w:t>
      </w:r>
      <w:r>
        <w:rPr>
          <w:rFonts w:hint="eastAsia" w:ascii="宋体" w:hAnsi="宋体" w:cs="宋体"/>
          <w:color w:val="000000"/>
          <w:kern w:val="0"/>
          <w:sz w:val="24"/>
          <w:szCs w:val="24"/>
          <w:lang w:val="zh-CN"/>
        </w:rPr>
        <w:t>检查人员复核。在</w:t>
      </w:r>
      <w:r>
        <w:rPr>
          <w:rFonts w:ascii="宋体" w:hAnsi="宋体" w:cs="宋体"/>
          <w:color w:val="000000"/>
          <w:kern w:val="0"/>
          <w:sz w:val="24"/>
          <w:szCs w:val="24"/>
          <w:lang w:val="zh-CN"/>
        </w:rPr>
        <w:t>每个人登录后的页面，对计分</w:t>
      </w:r>
      <w:r>
        <w:rPr>
          <w:rFonts w:hint="eastAsia" w:ascii="宋体" w:hAnsi="宋体" w:cs="宋体"/>
          <w:color w:val="000000"/>
          <w:kern w:val="0"/>
          <w:sz w:val="24"/>
          <w:szCs w:val="24"/>
          <w:lang w:val="zh-CN"/>
        </w:rPr>
        <w:t>以圆形</w:t>
      </w:r>
      <w:r>
        <w:rPr>
          <w:rFonts w:ascii="宋体" w:hAnsi="宋体" w:cs="宋体"/>
          <w:color w:val="000000"/>
          <w:kern w:val="0"/>
          <w:sz w:val="24"/>
          <w:szCs w:val="24"/>
          <w:lang w:val="zh-CN"/>
        </w:rPr>
        <w:t>显示，不同的计分范围设置不同的颜色</w:t>
      </w: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计分满6分、12分后自动弹出对话框提醒相关人员参加安全知识学习。设定一个自然年为一个计分周期，一个计分周期结束后，符合清零条件的，计分清零，开始新一轮计分周期。</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（4）台账</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展示被</w:t>
      </w:r>
      <w:r>
        <w:rPr>
          <w:rFonts w:ascii="宋体" w:hAnsi="宋体" w:cs="宋体"/>
          <w:color w:val="000000"/>
          <w:kern w:val="0"/>
          <w:sz w:val="24"/>
          <w:szCs w:val="24"/>
          <w:lang w:val="zh-CN"/>
        </w:rPr>
        <w:t>查对象</w:t>
      </w:r>
      <w:r>
        <w:rPr>
          <w:rFonts w:hint="eastAsia" w:ascii="宋体" w:hAnsi="宋体" w:cs="宋体"/>
          <w:color w:val="000000"/>
          <w:kern w:val="0"/>
          <w:sz w:val="24"/>
          <w:szCs w:val="24"/>
          <w:lang w:val="zh-CN"/>
        </w:rPr>
        <w:t>、</w:t>
      </w:r>
      <w:r>
        <w:rPr>
          <w:rFonts w:ascii="宋体" w:hAnsi="宋体" w:cs="宋体"/>
          <w:color w:val="000000"/>
          <w:kern w:val="0"/>
          <w:sz w:val="24"/>
          <w:szCs w:val="24"/>
          <w:lang w:val="zh-CN"/>
        </w:rPr>
        <w:t>责任人、</w:t>
      </w:r>
      <w:r>
        <w:rPr>
          <w:rFonts w:hint="eastAsia" w:ascii="宋体" w:hAnsi="宋体" w:cs="宋体"/>
          <w:color w:val="000000"/>
          <w:kern w:val="0"/>
          <w:sz w:val="24"/>
          <w:szCs w:val="24"/>
          <w:lang w:val="zh-CN"/>
        </w:rPr>
        <w:t>隐患等级</w:t>
      </w:r>
      <w:r>
        <w:rPr>
          <w:rFonts w:ascii="宋体" w:hAnsi="宋体" w:cs="宋体"/>
          <w:color w:val="000000"/>
          <w:kern w:val="0"/>
          <w:sz w:val="24"/>
          <w:szCs w:val="24"/>
          <w:lang w:val="zh-CN"/>
        </w:rPr>
        <w:t>、计分情况、</w:t>
      </w:r>
      <w:r>
        <w:rPr>
          <w:rFonts w:hint="eastAsia" w:ascii="宋体" w:hAnsi="宋体" w:cs="宋体"/>
          <w:color w:val="000000"/>
          <w:kern w:val="0"/>
          <w:sz w:val="24"/>
          <w:szCs w:val="24"/>
          <w:lang w:val="zh-CN"/>
        </w:rPr>
        <w:t>整改结果</w:t>
      </w:r>
      <w:r>
        <w:rPr>
          <w:rFonts w:ascii="宋体" w:hAnsi="宋体" w:cs="宋体"/>
          <w:color w:val="000000"/>
          <w:kern w:val="0"/>
          <w:sz w:val="24"/>
          <w:szCs w:val="24"/>
          <w:lang w:val="zh-CN"/>
        </w:rPr>
        <w:t>，完成时间</w:t>
      </w:r>
      <w:r>
        <w:rPr>
          <w:rFonts w:hint="eastAsia" w:ascii="宋体" w:hAnsi="宋体" w:cs="宋体"/>
          <w:color w:val="000000"/>
          <w:kern w:val="0"/>
          <w:sz w:val="24"/>
          <w:szCs w:val="24"/>
          <w:lang w:val="zh-CN"/>
        </w:rPr>
        <w:t>等</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相关</w:t>
      </w:r>
      <w:r>
        <w:rPr>
          <w:rFonts w:ascii="宋体" w:hAnsi="宋体" w:cs="宋体"/>
          <w:color w:val="000000"/>
          <w:kern w:val="0"/>
          <w:sz w:val="24"/>
          <w:szCs w:val="24"/>
          <w:lang w:val="zh-CN"/>
        </w:rPr>
        <w:t>字段</w:t>
      </w:r>
      <w:r>
        <w:rPr>
          <w:rFonts w:hint="eastAsia" w:ascii="宋体" w:hAnsi="宋体" w:cs="宋体"/>
          <w:color w:val="000000"/>
          <w:kern w:val="0"/>
          <w:sz w:val="24"/>
          <w:szCs w:val="24"/>
          <w:lang w:val="zh-CN"/>
        </w:rPr>
        <w:t>后续</w:t>
      </w:r>
      <w:r>
        <w:rPr>
          <w:rFonts w:ascii="宋体" w:hAnsi="宋体" w:cs="宋体"/>
          <w:color w:val="000000"/>
          <w:kern w:val="0"/>
          <w:sz w:val="24"/>
          <w:szCs w:val="24"/>
          <w:lang w:val="zh-CN"/>
        </w:rPr>
        <w:t>再定制）</w:t>
      </w:r>
      <w:r>
        <w:rPr>
          <w:rFonts w:hint="eastAsia" w:ascii="宋体" w:hAnsi="宋体" w:cs="宋体"/>
          <w:color w:val="000000"/>
          <w:kern w:val="0"/>
          <w:sz w:val="24"/>
          <w:szCs w:val="24"/>
          <w:lang w:val="zh-CN"/>
        </w:rPr>
        <w:t>。</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  台账能自行</w:t>
      </w:r>
      <w:r>
        <w:rPr>
          <w:rFonts w:ascii="宋体" w:hAnsi="宋体" w:cs="宋体"/>
          <w:color w:val="000000"/>
          <w:kern w:val="0"/>
          <w:sz w:val="24"/>
          <w:szCs w:val="24"/>
          <w:lang w:val="zh-CN"/>
        </w:rPr>
        <w:t>选择字段生成相应报表</w:t>
      </w:r>
      <w:r>
        <w:rPr>
          <w:rFonts w:hint="eastAsia" w:ascii="宋体" w:hAnsi="宋体" w:cs="宋体"/>
          <w:color w:val="000000"/>
          <w:kern w:val="0"/>
          <w:sz w:val="24"/>
          <w:szCs w:val="24"/>
          <w:lang w:val="zh-CN"/>
        </w:rPr>
        <w:t>，</w:t>
      </w:r>
      <w:r>
        <w:rPr>
          <w:rFonts w:ascii="宋体" w:hAnsi="宋体" w:cs="宋体"/>
          <w:color w:val="000000"/>
          <w:kern w:val="0"/>
          <w:sz w:val="24"/>
          <w:szCs w:val="24"/>
          <w:lang w:val="zh-CN"/>
        </w:rPr>
        <w:t>可按指定字段</w:t>
      </w:r>
      <w:r>
        <w:rPr>
          <w:rFonts w:hint="eastAsia" w:ascii="宋体" w:hAnsi="宋体" w:cs="宋体"/>
          <w:color w:val="000000"/>
          <w:kern w:val="0"/>
          <w:sz w:val="24"/>
          <w:szCs w:val="24"/>
          <w:lang w:val="zh-CN"/>
        </w:rPr>
        <w:t>进行</w:t>
      </w:r>
      <w:r>
        <w:rPr>
          <w:rFonts w:ascii="宋体" w:hAnsi="宋体" w:cs="宋体"/>
          <w:color w:val="000000"/>
          <w:kern w:val="0"/>
          <w:sz w:val="24"/>
          <w:szCs w:val="24"/>
          <w:lang w:val="zh-CN"/>
        </w:rPr>
        <w:t>导出、查询、筛选</w:t>
      </w:r>
      <w:r>
        <w:rPr>
          <w:rFonts w:hint="eastAsia" w:ascii="宋体" w:hAnsi="宋体" w:cs="宋体"/>
          <w:color w:val="000000"/>
          <w:kern w:val="0"/>
          <w:sz w:val="24"/>
          <w:szCs w:val="24"/>
          <w:lang w:val="zh-CN"/>
        </w:rPr>
        <w:t>等操作，其中</w:t>
      </w:r>
      <w:r>
        <w:rPr>
          <w:rFonts w:ascii="宋体" w:hAnsi="宋体" w:cs="宋体"/>
          <w:color w:val="000000"/>
          <w:kern w:val="0"/>
          <w:sz w:val="24"/>
          <w:szCs w:val="24"/>
          <w:lang w:val="zh-CN"/>
        </w:rPr>
        <w:t>查询支持模糊查询。</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  可</w:t>
      </w:r>
      <w:r>
        <w:rPr>
          <w:rFonts w:ascii="宋体" w:hAnsi="宋体" w:cs="宋体"/>
          <w:color w:val="000000"/>
          <w:kern w:val="0"/>
          <w:sz w:val="24"/>
          <w:szCs w:val="24"/>
          <w:lang w:val="zh-CN"/>
        </w:rPr>
        <w:t>按学院查询老师的计分情况</w:t>
      </w:r>
      <w:r>
        <w:rPr>
          <w:rFonts w:hint="eastAsia" w:ascii="宋体" w:hAnsi="宋体" w:cs="宋体"/>
          <w:color w:val="000000"/>
          <w:kern w:val="0"/>
          <w:sz w:val="24"/>
          <w:szCs w:val="24"/>
          <w:lang w:val="zh-CN"/>
        </w:rPr>
        <w:t>；</w:t>
      </w:r>
      <w:r>
        <w:rPr>
          <w:rFonts w:ascii="宋体" w:hAnsi="宋体" w:cs="宋体"/>
          <w:color w:val="000000"/>
          <w:kern w:val="0"/>
          <w:sz w:val="24"/>
          <w:szCs w:val="24"/>
          <w:lang w:val="zh-CN"/>
        </w:rPr>
        <w:t>可按隐患查询实验室，可对某一实验室的隐患进行查询</w:t>
      </w:r>
      <w:r>
        <w:rPr>
          <w:rFonts w:hint="eastAsia" w:ascii="宋体" w:hAnsi="宋体" w:cs="宋体"/>
          <w:color w:val="000000"/>
          <w:kern w:val="0"/>
          <w:sz w:val="24"/>
          <w:szCs w:val="24"/>
          <w:lang w:val="zh-CN"/>
        </w:rPr>
        <w:t>等等</w:t>
      </w:r>
      <w:r>
        <w:rPr>
          <w:rFonts w:ascii="宋体" w:hAnsi="宋体" w:cs="宋体"/>
          <w:color w:val="000000"/>
          <w:kern w:val="0"/>
          <w:sz w:val="24"/>
          <w:szCs w:val="24"/>
          <w:lang w:val="zh-CN"/>
        </w:rPr>
        <w:t>。</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val="zh-CN"/>
        </w:rPr>
        <w:t>）报表管理</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实验室相关报表输出的主要入口。可以从报表种类维度方便灵活的进行功能选择以及数据范围、日期范围等选择进行报表输出。输出的报表需支持符合第三方管理需求的Excel或者P</w:t>
      </w:r>
      <w:r>
        <w:rPr>
          <w:rFonts w:hint="eastAsia" w:ascii="宋体" w:hAnsi="宋体" w:cs="宋体"/>
          <w:color w:val="000000"/>
          <w:kern w:val="0"/>
          <w:sz w:val="24"/>
          <w:szCs w:val="24"/>
          <w:lang w:val="en-US" w:eastAsia="zh-CN"/>
        </w:rPr>
        <w:t>DF</w:t>
      </w:r>
      <w:r>
        <w:rPr>
          <w:rFonts w:hint="eastAsia" w:ascii="宋体" w:hAnsi="宋体" w:cs="宋体"/>
          <w:color w:val="000000"/>
          <w:kern w:val="0"/>
          <w:sz w:val="24"/>
          <w:szCs w:val="24"/>
          <w:lang w:val="zh-CN"/>
        </w:rPr>
        <w:t>格式。</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lang w:val="zh-CN"/>
        </w:rPr>
        <w:t>）文档下载中心</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对于安全管理业务范围内的相关文档进行集中管理，支持一级分类，可以方便的进行添加、修改、删除、下载、统计、搜索等功能。</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lang w:val="zh-CN"/>
        </w:rPr>
        <w:t>）支持统计监测模块，通过柱状图、饼形图、折线图、仪表盘等形式展现动态数据信息。</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lang w:val="zh-CN"/>
        </w:rPr>
        <w:t>）支持</w:t>
      </w:r>
      <w:r>
        <w:rPr>
          <w:rFonts w:ascii="宋体" w:hAnsi="宋体" w:cs="宋体"/>
          <w:color w:val="000000"/>
          <w:kern w:val="0"/>
          <w:sz w:val="24"/>
          <w:szCs w:val="24"/>
          <w:lang w:val="zh-CN"/>
        </w:rPr>
        <w:t>消息通知功能</w:t>
      </w:r>
      <w:r>
        <w:rPr>
          <w:rFonts w:hint="eastAsia" w:ascii="宋体" w:hAnsi="宋体" w:cs="宋体"/>
          <w:color w:val="000000"/>
          <w:kern w:val="0"/>
          <w:sz w:val="24"/>
          <w:szCs w:val="24"/>
          <w:lang w:val="zh-CN"/>
        </w:rPr>
        <w:t>。</w:t>
      </w:r>
    </w:p>
    <w:p>
      <w:pPr>
        <w:adjustRightInd w:val="0"/>
        <w:snapToGrid w:val="0"/>
        <w:spacing w:line="276" w:lineRule="auto"/>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lang w:val="zh-CN"/>
        </w:rPr>
        <w:t>）供货商</w:t>
      </w:r>
      <w:r>
        <w:rPr>
          <w:rFonts w:ascii="宋体" w:hAnsi="宋体" w:cs="宋体"/>
          <w:color w:val="000000"/>
          <w:kern w:val="0"/>
          <w:sz w:val="24"/>
          <w:szCs w:val="24"/>
          <w:lang w:val="zh-CN"/>
        </w:rPr>
        <w:t>对</w:t>
      </w:r>
      <w:r>
        <w:rPr>
          <w:rFonts w:hint="eastAsia" w:ascii="宋体" w:hAnsi="宋体" w:cs="宋体"/>
          <w:color w:val="000000"/>
          <w:kern w:val="0"/>
          <w:sz w:val="24"/>
          <w:szCs w:val="24"/>
          <w:lang w:val="zh-CN"/>
        </w:rPr>
        <w:t>本</w:t>
      </w:r>
      <w:r>
        <w:rPr>
          <w:rFonts w:ascii="宋体" w:hAnsi="宋体" w:cs="宋体"/>
          <w:color w:val="000000"/>
          <w:kern w:val="0"/>
          <w:sz w:val="24"/>
          <w:szCs w:val="24"/>
          <w:lang w:val="zh-CN"/>
        </w:rPr>
        <w:t>项目建设</w:t>
      </w:r>
      <w:r>
        <w:rPr>
          <w:rFonts w:hint="eastAsia" w:ascii="宋体" w:hAnsi="宋体" w:cs="宋体"/>
          <w:color w:val="000000"/>
          <w:kern w:val="0"/>
          <w:sz w:val="24"/>
          <w:szCs w:val="24"/>
          <w:lang w:val="zh-CN"/>
        </w:rPr>
        <w:t>需求</w:t>
      </w:r>
      <w:r>
        <w:rPr>
          <w:rFonts w:ascii="宋体" w:hAnsi="宋体" w:cs="宋体"/>
          <w:color w:val="000000"/>
          <w:kern w:val="0"/>
          <w:sz w:val="24"/>
          <w:szCs w:val="24"/>
          <w:lang w:val="zh-CN"/>
        </w:rPr>
        <w:t>调研</w:t>
      </w:r>
      <w:r>
        <w:rPr>
          <w:rFonts w:hint="eastAsia" w:ascii="宋体" w:hAnsi="宋体" w:cs="宋体"/>
          <w:color w:val="000000"/>
          <w:kern w:val="0"/>
          <w:sz w:val="24"/>
          <w:szCs w:val="24"/>
          <w:lang w:val="zh-CN"/>
        </w:rPr>
        <w:t>汇总</w:t>
      </w:r>
      <w:r>
        <w:rPr>
          <w:rFonts w:ascii="宋体" w:hAnsi="宋体" w:cs="宋体"/>
          <w:color w:val="000000"/>
          <w:kern w:val="0"/>
          <w:sz w:val="24"/>
          <w:szCs w:val="24"/>
          <w:lang w:val="zh-CN"/>
        </w:rPr>
        <w:t>形成“系统</w:t>
      </w:r>
      <w:r>
        <w:rPr>
          <w:rFonts w:hint="eastAsia" w:ascii="宋体" w:hAnsi="宋体" w:cs="宋体"/>
          <w:color w:val="000000"/>
          <w:kern w:val="0"/>
          <w:sz w:val="24"/>
          <w:szCs w:val="24"/>
          <w:lang w:val="zh-CN"/>
        </w:rPr>
        <w:t>需求</w:t>
      </w:r>
      <w:r>
        <w:rPr>
          <w:rFonts w:ascii="宋体" w:hAnsi="宋体" w:cs="宋体"/>
          <w:color w:val="000000"/>
          <w:kern w:val="0"/>
          <w:sz w:val="24"/>
          <w:szCs w:val="24"/>
          <w:lang w:val="zh-CN"/>
        </w:rPr>
        <w:t>调研报告</w:t>
      </w:r>
      <w:r>
        <w:rPr>
          <w:rFonts w:hint="eastAsia" w:ascii="宋体" w:hAnsi="宋体" w:cs="宋体"/>
          <w:color w:val="000000"/>
          <w:kern w:val="0"/>
          <w:sz w:val="24"/>
          <w:szCs w:val="24"/>
          <w:lang w:val="zh-CN"/>
        </w:rPr>
        <w:t>”或“系统设计</w:t>
      </w:r>
      <w:r>
        <w:rPr>
          <w:rFonts w:ascii="宋体" w:hAnsi="宋体" w:cs="宋体"/>
          <w:color w:val="000000"/>
          <w:kern w:val="0"/>
          <w:sz w:val="24"/>
          <w:szCs w:val="24"/>
          <w:lang w:val="zh-CN"/>
        </w:rPr>
        <w:t>报告”</w:t>
      </w:r>
      <w:r>
        <w:rPr>
          <w:rFonts w:hint="eastAsia" w:ascii="宋体" w:hAnsi="宋体" w:cs="宋体"/>
          <w:color w:val="000000"/>
          <w:kern w:val="0"/>
          <w:sz w:val="24"/>
          <w:szCs w:val="24"/>
          <w:lang w:val="zh-CN"/>
        </w:rPr>
        <w:t>,</w:t>
      </w:r>
      <w:r>
        <w:rPr>
          <w:rFonts w:ascii="宋体" w:hAnsi="宋体" w:cs="宋体"/>
          <w:color w:val="000000"/>
          <w:kern w:val="0"/>
          <w:sz w:val="24"/>
          <w:szCs w:val="24"/>
          <w:lang w:val="zh-CN"/>
        </w:rPr>
        <w:t>对甲方现场进行演示。</w:t>
      </w:r>
    </w:p>
    <w:p>
      <w:pPr>
        <w:adjustRightInd w:val="0"/>
        <w:snapToGrid w:val="0"/>
        <w:spacing w:line="440" w:lineRule="exact"/>
        <w:rPr>
          <w:rFonts w:ascii="宋体" w:hAnsi="宋体" w:cs="宋体"/>
          <w:b w:val="0"/>
          <w:bCs/>
          <w:color w:val="000000"/>
          <w:kern w:val="0"/>
          <w:sz w:val="24"/>
          <w:szCs w:val="24"/>
          <w:lang w:val="zh-CN"/>
        </w:rPr>
      </w:pPr>
      <w:r>
        <w:rPr>
          <w:rFonts w:hint="eastAsia" w:ascii="宋体" w:hAnsi="宋体" w:cs="宋体"/>
          <w:b w:val="0"/>
          <w:bCs/>
          <w:color w:val="000000"/>
          <w:kern w:val="0"/>
          <w:sz w:val="24"/>
          <w:szCs w:val="24"/>
          <w:lang w:val="en-US" w:eastAsia="zh-CN"/>
        </w:rPr>
        <w:t>四、</w:t>
      </w:r>
      <w:r>
        <w:rPr>
          <w:rFonts w:hint="eastAsia" w:ascii="宋体" w:hAnsi="宋体" w:cs="宋体"/>
          <w:b w:val="0"/>
          <w:bCs/>
          <w:color w:val="000000"/>
          <w:kern w:val="0"/>
          <w:sz w:val="24"/>
          <w:szCs w:val="24"/>
          <w:lang w:val="zh-CN"/>
        </w:rPr>
        <w:t>其它要求：</w:t>
      </w:r>
    </w:p>
    <w:p>
      <w:pPr>
        <w:adjustRightInd w:val="0"/>
        <w:snapToGrid w:val="0"/>
        <w:spacing w:line="440" w:lineRule="exact"/>
        <w:ind w:firstLine="480" w:firstLineChars="200"/>
        <w:rPr>
          <w:rFonts w:hint="eastAsia" w:ascii="宋体" w:hAnsi="宋体" w:cs="宋体"/>
          <w:kern w:val="0"/>
          <w:sz w:val="24"/>
          <w:szCs w:val="24"/>
          <w:highlight w:val="yellow"/>
          <w:lang w:val="zh-CN"/>
        </w:rPr>
      </w:pPr>
      <w:r>
        <w:rPr>
          <w:rFonts w:hint="eastAsia" w:ascii="宋体" w:hAnsi="宋体" w:cs="宋体"/>
          <w:kern w:val="0"/>
          <w:sz w:val="24"/>
          <w:szCs w:val="24"/>
          <w:lang w:val="zh-CN"/>
        </w:rPr>
        <w:t xml:space="preserve">1.产品在安装验收完毕后，质保期不低于 </w:t>
      </w:r>
      <w:r>
        <w:rPr>
          <w:rFonts w:hint="eastAsia" w:ascii="宋体" w:hAnsi="宋体" w:cs="宋体"/>
          <w:kern w:val="0"/>
          <w:sz w:val="24"/>
          <w:szCs w:val="24"/>
          <w:lang w:val="en-US" w:eastAsia="zh-CN"/>
        </w:rPr>
        <w:t>2</w:t>
      </w:r>
      <w:r>
        <w:rPr>
          <w:rFonts w:hint="eastAsia" w:ascii="宋体" w:hAnsi="宋体" w:cs="宋体"/>
          <w:kern w:val="0"/>
          <w:sz w:val="24"/>
          <w:szCs w:val="24"/>
          <w:lang w:val="zh-CN"/>
        </w:rPr>
        <w:t xml:space="preserve"> 年。</w:t>
      </w:r>
    </w:p>
    <w:p>
      <w:pPr>
        <w:adjustRightInd w:val="0"/>
        <w:snapToGrid w:val="0"/>
        <w:spacing w:line="44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2.质量保证期内的服务。</w:t>
      </w:r>
    </w:p>
    <w:p>
      <w:pPr>
        <w:adjustRightInd w:val="0"/>
        <w:snapToGrid w:val="0"/>
        <w:spacing w:line="44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（1）质保期内，一切服务费用（包括培训和维修费用）由乙方承担；</w:t>
      </w:r>
    </w:p>
    <w:p>
      <w:pPr>
        <w:adjustRightInd w:val="0"/>
        <w:snapToGrid w:val="0"/>
        <w:spacing w:line="44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（2）质保期内，乙方提供软件的免费升级；</w:t>
      </w:r>
    </w:p>
    <w:p>
      <w:pPr>
        <w:adjustRightInd w:val="0"/>
        <w:snapToGrid w:val="0"/>
        <w:spacing w:line="44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（3）在此期间，如出现非用户人为造成的质量问题，乙方负责免费维修或更换。乙方接到故障报告后48小时予以电话响应并给出方案；</w:t>
      </w:r>
    </w:p>
    <w:p>
      <w:pPr>
        <w:adjustRightInd w:val="0"/>
        <w:snapToGrid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（4）乙方对甲方所购买的产品提供免费的到货安装、调试。对甲方在使用中的技术问题提供电话、E-MAIL、上门支持等。</w:t>
      </w:r>
    </w:p>
    <w:p>
      <w:pPr>
        <w:adjustRightInd w:val="0"/>
        <w:snapToGrid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3.系统软件为永久使用权限，在保修期过后，软件可以一直使用。</w:t>
      </w:r>
    </w:p>
    <w:p>
      <w:pPr>
        <w:adjustRightInd w:val="0"/>
        <w:snapToGrid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4.乙方必须将与其</w:t>
      </w:r>
      <w:r>
        <w:rPr>
          <w:rFonts w:hint="eastAsia" w:ascii="宋体" w:hAnsi="宋体" w:eastAsia="宋体" w:cs="宋体"/>
          <w:kern w:val="0"/>
          <w:sz w:val="24"/>
          <w:szCs w:val="24"/>
          <w:lang w:val="en-US" w:eastAsia="zh-CN"/>
        </w:rPr>
        <w:t>它</w:t>
      </w:r>
      <w:r>
        <w:rPr>
          <w:rFonts w:hint="eastAsia" w:ascii="宋体" w:hAnsi="宋体" w:eastAsia="宋体" w:cs="宋体"/>
          <w:kern w:val="0"/>
          <w:sz w:val="24"/>
          <w:szCs w:val="24"/>
          <w:lang w:val="zh-CN"/>
        </w:rPr>
        <w:t>系统对接的端口开放，并免费配合与其</w:t>
      </w:r>
      <w:r>
        <w:rPr>
          <w:rFonts w:hint="eastAsia" w:ascii="宋体" w:hAnsi="宋体" w:eastAsia="宋体" w:cs="宋体"/>
          <w:kern w:val="0"/>
          <w:sz w:val="24"/>
          <w:szCs w:val="24"/>
          <w:lang w:val="en-US" w:eastAsia="zh-CN"/>
        </w:rPr>
        <w:t>它</w:t>
      </w:r>
      <w:r>
        <w:rPr>
          <w:rFonts w:hint="eastAsia" w:ascii="宋体" w:hAnsi="宋体" w:eastAsia="宋体" w:cs="宋体"/>
          <w:kern w:val="0"/>
          <w:sz w:val="24"/>
          <w:szCs w:val="24"/>
          <w:lang w:val="zh-CN"/>
        </w:rPr>
        <w:t>系统平台对接工作。</w:t>
      </w:r>
    </w:p>
    <w:p>
      <w:pPr>
        <w:adjustRightInd w:val="0"/>
        <w:snapToGrid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zh-CN"/>
        </w:rPr>
        <w:t>付款方式：为保证软件定制开发正常运行，分</w:t>
      </w:r>
      <w:r>
        <w:rPr>
          <w:rFonts w:hint="eastAsia" w:ascii="宋体" w:hAnsi="宋体" w:eastAsia="宋体" w:cs="宋体"/>
          <w:kern w:val="0"/>
          <w:sz w:val="24"/>
          <w:szCs w:val="24"/>
          <w:lang w:val="en-US" w:eastAsia="zh-CN"/>
        </w:rPr>
        <w:t>二</w:t>
      </w:r>
      <w:r>
        <w:rPr>
          <w:rFonts w:hint="eastAsia" w:ascii="宋体" w:hAnsi="宋体" w:eastAsia="宋体" w:cs="宋体"/>
          <w:kern w:val="0"/>
          <w:sz w:val="24"/>
          <w:szCs w:val="24"/>
          <w:lang w:val="zh-CN"/>
        </w:rPr>
        <w:t>期付款，合同签订后以系统上线时间为节点，上线后即支付总费用的</w:t>
      </w:r>
      <w:r>
        <w:rPr>
          <w:rFonts w:hint="eastAsia" w:ascii="宋体" w:hAnsi="宋体" w:eastAsia="宋体" w:cs="宋体"/>
          <w:kern w:val="0"/>
          <w:sz w:val="24"/>
          <w:szCs w:val="24"/>
          <w:lang w:val="en-US" w:eastAsia="zh-CN"/>
        </w:rPr>
        <w:t>90</w:t>
      </w:r>
      <w:r>
        <w:rPr>
          <w:rFonts w:hint="eastAsia" w:ascii="宋体" w:hAnsi="宋体" w:eastAsia="宋体" w:cs="宋体"/>
          <w:kern w:val="0"/>
          <w:sz w:val="24"/>
          <w:szCs w:val="24"/>
          <w:lang w:val="zh-CN"/>
        </w:rPr>
        <w:t>%，上线满12个月，完成本项目所有的技术需求，保证系统完全正常运行后，支付尾款。</w:t>
      </w:r>
    </w:p>
    <w:p>
      <w:pPr>
        <w:adjustRightInd w:val="0"/>
        <w:snapToGrid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6.供货期：合同签订之日起60日历天内部署上线。</w:t>
      </w:r>
    </w:p>
    <w:p>
      <w:pPr>
        <w:pStyle w:val="8"/>
        <w:adjustRightInd w:val="0"/>
        <w:snapToGrid w:val="0"/>
        <w:spacing w:before="0" w:beforeAutospacing="0" w:after="0" w:afterAutospacing="0" w:line="400" w:lineRule="exact"/>
        <w:rPr>
          <w:rFonts w:hint="eastAsia"/>
          <w:color w:val="000000"/>
        </w:rPr>
      </w:pPr>
    </w:p>
    <w:p>
      <w:pPr>
        <w:pStyle w:val="8"/>
        <w:adjustRightInd w:val="0"/>
        <w:snapToGrid w:val="0"/>
        <w:spacing w:before="0" w:beforeAutospacing="0" w:after="0" w:afterAutospacing="0" w:line="400" w:lineRule="exact"/>
        <w:rPr>
          <w:rFonts w:ascii="Arial" w:cs="Arial"/>
          <w:bCs/>
          <w:sz w:val="20"/>
          <w:szCs w:val="20"/>
        </w:rPr>
      </w:pPr>
      <w:r>
        <w:rPr>
          <w:rFonts w:hint="eastAsia"/>
          <w:color w:val="000000"/>
        </w:rPr>
        <w:t xml:space="preserve">    </w:t>
      </w:r>
    </w:p>
    <w:p>
      <w:pPr>
        <w:jc w:val="left"/>
        <w:rPr>
          <w:b/>
          <w:sz w:val="24"/>
          <w:szCs w:val="24"/>
        </w:rPr>
      </w:pPr>
      <w:r>
        <w:rPr>
          <w:rFonts w:hint="eastAsia"/>
          <w:b/>
          <w:sz w:val="24"/>
          <w:szCs w:val="24"/>
        </w:rPr>
        <w:t>评分索引表</w:t>
      </w:r>
    </w:p>
    <w:tbl>
      <w:tblPr>
        <w:tblStyle w:val="9"/>
        <w:tblW w:w="829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05"/>
        <w:gridCol w:w="874"/>
        <w:gridCol w:w="1417"/>
        <w:gridCol w:w="4632"/>
        <w:gridCol w:w="639"/>
        <w:gridCol w:w="2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01" w:hRule="atLeast"/>
          <w:jc w:val="center"/>
        </w:trPr>
        <w:tc>
          <w:tcPr>
            <w:tcW w:w="50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center"/>
              <w:rPr>
                <w:rFonts w:cs="宋体" w:asciiTheme="minorEastAsia" w:hAnsiTheme="minorEastAsia"/>
                <w:kern w:val="0"/>
                <w:sz w:val="24"/>
                <w:szCs w:val="24"/>
              </w:rPr>
            </w:pPr>
            <w:r>
              <w:rPr>
                <w:rFonts w:hint="eastAsia" w:cs="宋体" w:asciiTheme="minorEastAsia" w:hAnsiTheme="minorEastAsia"/>
                <w:b/>
                <w:bCs/>
                <w:kern w:val="0"/>
                <w:sz w:val="24"/>
                <w:szCs w:val="24"/>
              </w:rPr>
              <w:t>序号</w:t>
            </w:r>
          </w:p>
        </w:tc>
        <w:tc>
          <w:tcPr>
            <w:tcW w:w="874"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center"/>
              <w:rPr>
                <w:rFonts w:cs="宋体" w:asciiTheme="minorEastAsia" w:hAnsiTheme="minorEastAsia"/>
                <w:kern w:val="0"/>
                <w:sz w:val="24"/>
                <w:szCs w:val="24"/>
              </w:rPr>
            </w:pPr>
            <w:r>
              <w:rPr>
                <w:rFonts w:hint="eastAsia" w:cs="宋体" w:asciiTheme="minorEastAsia" w:hAnsiTheme="minorEastAsia"/>
                <w:b/>
                <w:bCs/>
                <w:kern w:val="0"/>
                <w:sz w:val="24"/>
                <w:szCs w:val="24"/>
              </w:rPr>
              <w:t>评审因素</w:t>
            </w:r>
          </w:p>
        </w:tc>
        <w:tc>
          <w:tcPr>
            <w:tcW w:w="1417"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center"/>
              <w:rPr>
                <w:rFonts w:cs="宋体" w:asciiTheme="minorEastAsia" w:hAnsiTheme="minorEastAsia"/>
                <w:kern w:val="0"/>
                <w:sz w:val="24"/>
                <w:szCs w:val="24"/>
              </w:rPr>
            </w:pPr>
            <w:r>
              <w:rPr>
                <w:rFonts w:hint="eastAsia" w:cs="宋体" w:asciiTheme="minorEastAsia" w:hAnsiTheme="minorEastAsia"/>
                <w:b/>
                <w:bCs/>
                <w:kern w:val="0"/>
                <w:sz w:val="24"/>
                <w:szCs w:val="24"/>
              </w:rPr>
              <w:t>评审项目</w:t>
            </w:r>
          </w:p>
        </w:tc>
        <w:tc>
          <w:tcPr>
            <w:tcW w:w="4632"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center"/>
              <w:rPr>
                <w:rFonts w:cs="宋体" w:asciiTheme="minorEastAsia" w:hAnsiTheme="minorEastAsia"/>
                <w:kern w:val="0"/>
                <w:sz w:val="24"/>
                <w:szCs w:val="24"/>
              </w:rPr>
            </w:pPr>
            <w:r>
              <w:rPr>
                <w:rFonts w:hint="eastAsia" w:cs="宋体" w:asciiTheme="minorEastAsia" w:hAnsiTheme="minorEastAsia"/>
                <w:b/>
                <w:bCs/>
                <w:kern w:val="0"/>
                <w:sz w:val="24"/>
                <w:szCs w:val="24"/>
              </w:rPr>
              <w:t>评审细则</w:t>
            </w:r>
          </w:p>
        </w:tc>
        <w:tc>
          <w:tcPr>
            <w:tcW w:w="639" w:type="dxa"/>
            <w:tcBorders>
              <w:top w:val="single" w:color="000000" w:sz="6" w:space="0"/>
              <w:left w:val="nil"/>
              <w:bottom w:val="single" w:color="auto" w:sz="4" w:space="0"/>
              <w:right w:val="nil"/>
            </w:tcBorders>
            <w:vAlign w:val="center"/>
          </w:tcPr>
          <w:p>
            <w:pPr>
              <w:widowControl/>
              <w:adjustRightInd w:val="0"/>
              <w:snapToGrid w:val="0"/>
              <w:spacing w:line="400" w:lineRule="exact"/>
              <w:jc w:val="center"/>
              <w:rPr>
                <w:rFonts w:cs="宋体" w:asciiTheme="minorEastAsia" w:hAnsiTheme="minorEastAsia"/>
                <w:kern w:val="0"/>
                <w:sz w:val="24"/>
                <w:szCs w:val="24"/>
              </w:rPr>
            </w:pPr>
            <w:r>
              <w:rPr>
                <w:rFonts w:hint="eastAsia" w:cs="宋体" w:asciiTheme="minorEastAsia" w:hAnsiTheme="minorEastAsia"/>
                <w:b/>
                <w:bCs/>
                <w:kern w:val="0"/>
                <w:sz w:val="24"/>
                <w:szCs w:val="24"/>
                <w:lang w:val="en-US" w:eastAsia="zh-CN"/>
              </w:rPr>
              <w:t xml:space="preserve"> </w:t>
            </w:r>
            <w:r>
              <w:rPr>
                <w:rFonts w:hint="eastAsia" w:cs="宋体" w:asciiTheme="minorEastAsia" w:hAnsiTheme="minorEastAsia"/>
                <w:b/>
                <w:bCs/>
                <w:kern w:val="0"/>
                <w:sz w:val="24"/>
                <w:szCs w:val="24"/>
              </w:rPr>
              <w:t>分值</w:t>
            </w:r>
          </w:p>
        </w:tc>
        <w:tc>
          <w:tcPr>
            <w:tcW w:w="230" w:type="dxa"/>
            <w:tcBorders>
              <w:top w:val="single" w:color="000000" w:sz="6" w:space="0"/>
              <w:left w:val="nil"/>
              <w:bottom w:val="single" w:color="auto" w:sz="4"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rPr>
                <w:rFonts w:cs="宋体" w:asciiTheme="minorEastAsia" w:hAnsiTheme="minorEastAsia"/>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48" w:hRule="atLeast"/>
          <w:jc w:val="center"/>
        </w:trPr>
        <w:tc>
          <w:tcPr>
            <w:tcW w:w="505" w:type="dxa"/>
            <w:vMerge w:val="restart"/>
            <w:tcBorders>
              <w:top w:val="nil"/>
              <w:left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874" w:type="dxa"/>
            <w:vMerge w:val="restart"/>
            <w:tcBorders>
              <w:top w:val="nil"/>
              <w:left w:val="nil"/>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技术</w:t>
            </w:r>
          </w:p>
          <w:p>
            <w:pPr>
              <w:widowControl/>
              <w:adjustRightInd w:val="0"/>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50分</w:t>
            </w:r>
          </w:p>
        </w:tc>
        <w:tc>
          <w:tcPr>
            <w:tcW w:w="141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技术参数及功能响应</w:t>
            </w:r>
          </w:p>
          <w:p>
            <w:pPr>
              <w:widowControl/>
              <w:adjustRightInd w:val="0"/>
              <w:snapToGrid w:val="0"/>
              <w:spacing w:line="400" w:lineRule="exact"/>
              <w:jc w:val="center"/>
              <w:rPr>
                <w:rFonts w:hint="eastAsia" w:ascii="宋体" w:hAnsi="宋体" w:eastAsia="宋体" w:cs="宋体"/>
                <w:kern w:val="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30</w:t>
            </w:r>
            <w:r>
              <w:rPr>
                <w:rFonts w:hint="eastAsia" w:ascii="宋体" w:hAnsi="宋体" w:eastAsia="宋体" w:cs="宋体"/>
                <w:color w:val="000000"/>
                <w:sz w:val="24"/>
              </w:rPr>
              <w:t>分）</w:t>
            </w:r>
          </w:p>
        </w:tc>
        <w:tc>
          <w:tcPr>
            <w:tcW w:w="4632" w:type="dxa"/>
            <w:tcBorders>
              <w:top w:val="nil"/>
              <w:left w:val="nil"/>
              <w:bottom w:val="single" w:color="auto" w:sz="4" w:space="0"/>
              <w:right w:val="single" w:color="auto" w:sz="4" w:space="0"/>
            </w:tcBorders>
            <w:tcMar>
              <w:top w:w="0" w:type="dxa"/>
              <w:left w:w="105" w:type="dxa"/>
              <w:bottom w:w="0" w:type="dxa"/>
              <w:right w:w="105" w:type="dxa"/>
            </w:tcMar>
            <w:vAlign w:val="center"/>
          </w:tcPr>
          <w:p>
            <w:pPr>
              <w:widowControl/>
              <w:adjustRightInd w:val="0"/>
              <w:snapToGrid w:val="0"/>
              <w:spacing w:line="400" w:lineRule="exact"/>
              <w:jc w:val="left"/>
              <w:rPr>
                <w:rFonts w:hint="eastAsia" w:ascii="宋体" w:hAnsi="宋体" w:eastAsia="宋体" w:cs="宋体"/>
                <w:kern w:val="0"/>
                <w:sz w:val="24"/>
              </w:rPr>
            </w:pPr>
            <w:r>
              <w:rPr>
                <w:rFonts w:hint="eastAsia" w:ascii="宋体" w:hAnsi="宋体" w:eastAsia="宋体" w:cs="宋体"/>
                <w:color w:val="000000"/>
                <w:sz w:val="24"/>
              </w:rPr>
              <w:t>投标产品技术参数全部符合要求的得40分。每负偏离一项扣2分，扣完为止；有一项评委组认可的正偏离加1分。本项最高得40分。</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06" w:hRule="atLeast"/>
          <w:jc w:val="center"/>
        </w:trPr>
        <w:tc>
          <w:tcPr>
            <w:tcW w:w="505"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center"/>
              <w:rPr>
                <w:rFonts w:hint="eastAsia" w:ascii="宋体" w:hAnsi="宋体" w:eastAsia="宋体" w:cs="宋体"/>
                <w:kern w:val="0"/>
                <w:sz w:val="24"/>
              </w:rPr>
            </w:pPr>
          </w:p>
        </w:tc>
        <w:tc>
          <w:tcPr>
            <w:tcW w:w="874" w:type="dxa"/>
            <w:vMerge w:val="continue"/>
            <w:tcBorders>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center"/>
              <w:rPr>
                <w:rFonts w:hint="eastAsia" w:ascii="宋体" w:hAnsi="宋体" w:eastAsia="宋体" w:cs="宋体"/>
                <w:kern w:val="0"/>
                <w:sz w:val="24"/>
              </w:rPr>
            </w:pPr>
          </w:p>
        </w:tc>
        <w:tc>
          <w:tcPr>
            <w:tcW w:w="141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center"/>
              <w:rPr>
                <w:rFonts w:hint="eastAsia" w:ascii="宋体" w:hAnsi="宋体" w:eastAsia="宋体" w:cs="宋体"/>
                <w:color w:val="000000"/>
                <w:sz w:val="24"/>
              </w:rPr>
            </w:pPr>
            <w:r>
              <w:rPr>
                <w:rFonts w:hint="eastAsia" w:ascii="宋体" w:hAnsi="宋体" w:eastAsia="宋体" w:cs="宋体"/>
                <w:sz w:val="24"/>
              </w:rPr>
              <w:t>品牌和选型（10分）</w:t>
            </w:r>
          </w:p>
        </w:tc>
        <w:tc>
          <w:tcPr>
            <w:tcW w:w="4632" w:type="dxa"/>
            <w:tcBorders>
              <w:top w:val="single" w:color="auto" w:sz="4" w:space="0"/>
              <w:left w:val="nil"/>
              <w:bottom w:val="single" w:color="000000" w:sz="6" w:space="0"/>
              <w:right w:val="single" w:color="auto" w:sz="4" w:space="0"/>
            </w:tcBorders>
            <w:tcMar>
              <w:top w:w="0" w:type="dxa"/>
              <w:left w:w="105" w:type="dxa"/>
              <w:bottom w:w="0" w:type="dxa"/>
              <w:right w:w="105" w:type="dxa"/>
            </w:tcMar>
            <w:vAlign w:val="center"/>
          </w:tcPr>
          <w:p>
            <w:pPr>
              <w:widowControl/>
              <w:adjustRightInd w:val="0"/>
              <w:snapToGrid w:val="0"/>
              <w:spacing w:line="400" w:lineRule="exact"/>
              <w:jc w:val="left"/>
              <w:rPr>
                <w:rFonts w:hint="eastAsia" w:ascii="宋体" w:hAnsi="宋体" w:eastAsia="宋体" w:cs="宋体"/>
                <w:color w:val="000000"/>
                <w:sz w:val="24"/>
              </w:rPr>
            </w:pPr>
            <w:r>
              <w:rPr>
                <w:rFonts w:hint="eastAsia" w:ascii="宋体" w:hAnsi="宋体" w:eastAsia="宋体" w:cs="宋体"/>
                <w:kern w:val="0"/>
                <w:sz w:val="24"/>
              </w:rPr>
              <w:t>根据投标人所投设备的品牌与选型情况进行综合打分。优等9-10分；良等的7-8分，一般的6分，其他的6分以下。</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97" w:hRule="atLeast"/>
          <w:jc w:val="center"/>
        </w:trPr>
        <w:tc>
          <w:tcPr>
            <w:tcW w:w="505" w:type="dxa"/>
            <w:vMerge w:val="restart"/>
            <w:tcBorders>
              <w:top w:val="nil"/>
              <w:left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74" w:type="dxa"/>
            <w:vMerge w:val="restart"/>
            <w:tcBorders>
              <w:top w:val="nil"/>
              <w:left w:val="nil"/>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商务20分</w:t>
            </w:r>
          </w:p>
        </w:tc>
        <w:tc>
          <w:tcPr>
            <w:tcW w:w="141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整体实力</w:t>
            </w:r>
          </w:p>
          <w:p>
            <w:pPr>
              <w:widowControl/>
              <w:adjustRightInd w:val="0"/>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（5分）</w:t>
            </w:r>
          </w:p>
        </w:tc>
        <w:tc>
          <w:tcPr>
            <w:tcW w:w="4632"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根据投标人生产或经营本项目的能力与资格，即综合考虑其资质、实力、质量控制、管理能力、技术研发能力和水平进行评分：优得5分，良得4分，一般得3分，其他得3分以下。</w:t>
            </w:r>
          </w:p>
        </w:tc>
        <w:tc>
          <w:tcPr>
            <w:tcW w:w="869" w:type="dxa"/>
            <w:gridSpan w:val="2"/>
            <w:tcBorders>
              <w:top w:val="single" w:color="auto" w:sz="4" w:space="0"/>
              <w:left w:val="nil"/>
              <w:bottom w:val="single" w:color="000000" w:sz="6" w:space="0"/>
              <w:right w:val="single" w:color="000000" w:sz="6" w:space="0"/>
            </w:tcBorders>
            <w:vAlign w:val="center"/>
          </w:tcPr>
          <w:p>
            <w:pPr>
              <w:widowControl/>
              <w:adjustRightInd w:val="0"/>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505" w:type="dxa"/>
            <w:vMerge w:val="continue"/>
            <w:tcBorders>
              <w:left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center"/>
              <w:rPr>
                <w:rFonts w:hint="eastAsia" w:ascii="宋体" w:hAnsi="宋体" w:eastAsia="宋体" w:cs="宋体"/>
                <w:kern w:val="0"/>
                <w:sz w:val="24"/>
                <w:szCs w:val="24"/>
              </w:rPr>
            </w:pPr>
          </w:p>
        </w:tc>
        <w:tc>
          <w:tcPr>
            <w:tcW w:w="874" w:type="dxa"/>
            <w:vMerge w:val="continue"/>
            <w:tcBorders>
              <w:left w:val="nil"/>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center"/>
              <w:rPr>
                <w:rFonts w:hint="eastAsia" w:ascii="宋体" w:hAnsi="宋体" w:eastAsia="宋体" w:cs="宋体"/>
                <w:kern w:val="0"/>
                <w:sz w:val="24"/>
                <w:szCs w:val="24"/>
              </w:rPr>
            </w:pPr>
          </w:p>
        </w:tc>
        <w:tc>
          <w:tcPr>
            <w:tcW w:w="141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质保</w:t>
            </w:r>
          </w:p>
          <w:p>
            <w:pPr>
              <w:widowControl/>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kern w:val="0"/>
                <w:sz w:val="24"/>
                <w:szCs w:val="24"/>
              </w:rPr>
              <w:t>（10分）</w:t>
            </w:r>
          </w:p>
        </w:tc>
        <w:tc>
          <w:tcPr>
            <w:tcW w:w="4632"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满足招标文件质保最低要求得2分，每增加1年质保加2分，本项最高得10分。</w:t>
            </w:r>
          </w:p>
        </w:tc>
        <w:tc>
          <w:tcPr>
            <w:tcW w:w="869" w:type="dxa"/>
            <w:gridSpan w:val="2"/>
            <w:tcBorders>
              <w:top w:val="nil"/>
              <w:left w:val="nil"/>
              <w:bottom w:val="single" w:color="000000" w:sz="6" w:space="0"/>
              <w:right w:val="single" w:color="000000" w:sz="6" w:space="0"/>
            </w:tcBorders>
            <w:vAlign w:val="center"/>
          </w:tcPr>
          <w:p>
            <w:pPr>
              <w:widowControl/>
              <w:adjustRightInd w:val="0"/>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16" w:hRule="atLeast"/>
          <w:jc w:val="center"/>
        </w:trPr>
        <w:tc>
          <w:tcPr>
            <w:tcW w:w="505" w:type="dxa"/>
            <w:vMerge w:val="continue"/>
            <w:tcBorders>
              <w:left w:val="single" w:color="000000" w:sz="6" w:space="0"/>
              <w:bottom w:val="single" w:color="auto" w:sz="4" w:space="0"/>
              <w:right w:val="single" w:color="000000" w:sz="6" w:space="0"/>
            </w:tcBorders>
            <w:vAlign w:val="center"/>
          </w:tcPr>
          <w:p>
            <w:pPr>
              <w:widowControl/>
              <w:adjustRightInd w:val="0"/>
              <w:snapToGrid w:val="0"/>
              <w:spacing w:line="400" w:lineRule="exact"/>
              <w:jc w:val="left"/>
              <w:rPr>
                <w:rFonts w:hint="eastAsia" w:ascii="宋体" w:hAnsi="宋体" w:eastAsia="宋体" w:cs="宋体"/>
                <w:kern w:val="0"/>
                <w:sz w:val="24"/>
                <w:szCs w:val="24"/>
              </w:rPr>
            </w:pPr>
          </w:p>
        </w:tc>
        <w:tc>
          <w:tcPr>
            <w:tcW w:w="874" w:type="dxa"/>
            <w:vMerge w:val="continue"/>
            <w:tcBorders>
              <w:left w:val="nil"/>
              <w:bottom w:val="single" w:color="auto" w:sz="4" w:space="0"/>
              <w:right w:val="single" w:color="000000" w:sz="6" w:space="0"/>
            </w:tcBorders>
            <w:vAlign w:val="center"/>
          </w:tcPr>
          <w:p>
            <w:pPr>
              <w:widowControl/>
              <w:adjustRightInd w:val="0"/>
              <w:snapToGrid w:val="0"/>
              <w:spacing w:line="400" w:lineRule="exact"/>
              <w:jc w:val="center"/>
              <w:rPr>
                <w:rFonts w:hint="eastAsia" w:ascii="宋体" w:hAnsi="宋体" w:eastAsia="宋体" w:cs="宋体"/>
                <w:kern w:val="0"/>
                <w:sz w:val="24"/>
                <w:szCs w:val="24"/>
              </w:rPr>
            </w:pPr>
          </w:p>
        </w:tc>
        <w:tc>
          <w:tcPr>
            <w:tcW w:w="141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售后服务</w:t>
            </w:r>
          </w:p>
          <w:p>
            <w:pPr>
              <w:widowControl/>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kern w:val="0"/>
                <w:sz w:val="24"/>
                <w:szCs w:val="24"/>
              </w:rPr>
              <w:t>（5分）</w:t>
            </w:r>
          </w:p>
        </w:tc>
        <w:tc>
          <w:tcPr>
            <w:tcW w:w="4632"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adjustRightInd w:val="0"/>
              <w:snapToGrid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根据投标人提供售后服务方案（含培训）、服务体系（含培训）、服务和范围以及故障解决方案、响应时间、应急处理方案、专业技术人员保障等综合评分。优得5分，良得4分，一般得3分，其他得3分以下。</w:t>
            </w:r>
          </w:p>
        </w:tc>
        <w:tc>
          <w:tcPr>
            <w:tcW w:w="869" w:type="dxa"/>
            <w:gridSpan w:val="2"/>
            <w:tcBorders>
              <w:top w:val="nil"/>
              <w:left w:val="nil"/>
              <w:bottom w:val="single" w:color="000000" w:sz="6" w:space="0"/>
              <w:right w:val="single" w:color="000000" w:sz="6" w:space="0"/>
            </w:tcBorders>
            <w:vAlign w:val="center"/>
          </w:tcPr>
          <w:p>
            <w:pPr>
              <w:widowControl/>
              <w:adjustRightInd w:val="0"/>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39" w:hRule="atLeast"/>
          <w:jc w:val="center"/>
        </w:trPr>
        <w:tc>
          <w:tcPr>
            <w:tcW w:w="505" w:type="dxa"/>
            <w:tcBorders>
              <w:top w:val="nil"/>
              <w:left w:val="single" w:color="000000" w:sz="6" w:space="0"/>
              <w:bottom w:val="single" w:color="auto" w:sz="4" w:space="0"/>
              <w:right w:val="single" w:color="000000" w:sz="6" w:space="0"/>
            </w:tcBorders>
            <w:vAlign w:val="center"/>
          </w:tcPr>
          <w:p>
            <w:pPr>
              <w:widowControl/>
              <w:adjustRightInd w:val="0"/>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3</w:t>
            </w:r>
          </w:p>
        </w:tc>
        <w:tc>
          <w:tcPr>
            <w:tcW w:w="874" w:type="dxa"/>
            <w:tcBorders>
              <w:top w:val="nil"/>
              <w:left w:val="nil"/>
              <w:bottom w:val="single" w:color="auto" w:sz="4" w:space="0"/>
              <w:right w:val="single" w:color="000000" w:sz="6" w:space="0"/>
            </w:tcBorders>
            <w:vAlign w:val="center"/>
          </w:tcPr>
          <w:p>
            <w:pPr>
              <w:widowControl/>
              <w:adjustRightInd w:val="0"/>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价格</w:t>
            </w:r>
          </w:p>
          <w:p>
            <w:pPr>
              <w:widowControl/>
              <w:adjustRightInd w:val="0"/>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30分</w:t>
            </w:r>
          </w:p>
        </w:tc>
        <w:tc>
          <w:tcPr>
            <w:tcW w:w="1417" w:type="dxa"/>
            <w:tcBorders>
              <w:top w:val="single" w:color="auto" w:sz="4" w:space="0"/>
              <w:left w:val="single" w:color="000000" w:sz="6" w:space="0"/>
              <w:bottom w:val="single" w:color="auto" w:sz="4" w:space="0"/>
              <w:right w:val="single" w:color="auto" w:sz="4" w:space="0"/>
            </w:tcBorders>
            <w:tcMar>
              <w:top w:w="0" w:type="dxa"/>
              <w:left w:w="105" w:type="dxa"/>
              <w:bottom w:w="0" w:type="dxa"/>
              <w:right w:w="105" w:type="dxa"/>
            </w:tcMar>
            <w:vAlign w:val="center"/>
          </w:tcPr>
          <w:p>
            <w:pPr>
              <w:widowControl/>
              <w:adjustRightInd w:val="0"/>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 xml:space="preserve">报价 </w:t>
            </w:r>
          </w:p>
          <w:p>
            <w:pPr>
              <w:widowControl/>
              <w:adjustRightInd w:val="0"/>
              <w:snapToGrid w:val="0"/>
              <w:spacing w:line="400" w:lineRule="exact"/>
              <w:jc w:val="center"/>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kern w:val="0"/>
                <w:sz w:val="24"/>
                <w:lang w:eastAsia="ja-JP"/>
              </w:rPr>
              <w:t>30</w:t>
            </w:r>
            <w:r>
              <w:rPr>
                <w:rFonts w:hint="eastAsia" w:ascii="宋体" w:hAnsi="宋体" w:eastAsia="宋体" w:cs="宋体"/>
                <w:kern w:val="0"/>
                <w:sz w:val="24"/>
              </w:rPr>
              <w:t>分）</w:t>
            </w:r>
          </w:p>
        </w:tc>
        <w:tc>
          <w:tcPr>
            <w:tcW w:w="463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adjustRightInd w:val="0"/>
              <w:snapToGrid w:val="0"/>
              <w:spacing w:line="400" w:lineRule="exact"/>
              <w:jc w:val="left"/>
              <w:rPr>
                <w:rFonts w:hint="eastAsia" w:ascii="宋体" w:hAnsi="宋体" w:eastAsia="宋体" w:cs="宋体"/>
                <w:kern w:val="0"/>
                <w:sz w:val="24"/>
              </w:rPr>
            </w:pPr>
            <w:r>
              <w:rPr>
                <w:rFonts w:hint="eastAsia" w:ascii="宋体" w:hAnsi="宋体" w:eastAsia="宋体" w:cs="宋体"/>
                <w:kern w:val="0"/>
                <w:sz w:val="24"/>
              </w:rPr>
              <w:t>满足采购文件要求且投标价格最低的投标报价为评标基准价，其价格分为满分。其他投标人的价格分统一按照下列公式计算：投标报价得分=(评标基准价／投标报价)×30</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kern w:val="0"/>
                <w:sz w:val="24"/>
              </w:rPr>
            </w:pPr>
            <w:r>
              <w:rPr>
                <w:rFonts w:hint="eastAsia" w:ascii="宋体" w:hAnsi="宋体" w:eastAsia="宋体" w:cs="宋体"/>
                <w:kern w:val="0"/>
                <w:sz w:val="24"/>
              </w:rPr>
              <w:t>30</w:t>
            </w:r>
          </w:p>
        </w:tc>
      </w:tr>
    </w:tbl>
    <w:p>
      <w:pPr>
        <w:widowControl/>
        <w:jc w:val="left"/>
        <w:rPr>
          <w:b/>
          <w:sz w:val="28"/>
          <w:szCs w:val="28"/>
        </w:rPr>
      </w:pPr>
      <w:r>
        <w:rPr>
          <w:b/>
          <w:sz w:val="28"/>
          <w:szCs w:val="28"/>
        </w:rPr>
        <w:br w:type="page"/>
      </w:r>
      <w:r>
        <w:rPr>
          <w:rFonts w:hint="eastAsia"/>
          <w:b/>
          <w:sz w:val="28"/>
          <w:szCs w:val="28"/>
        </w:rPr>
        <w:t xml:space="preserve">供方响应单：             </w:t>
      </w:r>
    </w:p>
    <w:tbl>
      <w:tblPr>
        <w:tblStyle w:val="10"/>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560"/>
        <w:gridCol w:w="864"/>
        <w:gridCol w:w="876"/>
        <w:gridCol w:w="828"/>
        <w:gridCol w:w="960"/>
        <w:gridCol w:w="948"/>
        <w:gridCol w:w="1344"/>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56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品名</w:t>
            </w:r>
          </w:p>
        </w:tc>
        <w:tc>
          <w:tcPr>
            <w:tcW w:w="864"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生产厂家</w:t>
            </w:r>
          </w:p>
        </w:tc>
        <w:tc>
          <w:tcPr>
            <w:tcW w:w="876"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型号</w:t>
            </w:r>
          </w:p>
        </w:tc>
        <w:tc>
          <w:tcPr>
            <w:tcW w:w="828"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960" w:type="dxa"/>
            <w:shd w:val="clear" w:color="auto" w:fill="auto"/>
            <w:vAlign w:val="center"/>
          </w:tcPr>
          <w:p>
            <w:pPr>
              <w:widowControl/>
              <w:jc w:val="center"/>
              <w:rPr>
                <w:rFonts w:hint="eastAsia" w:ascii="宋体" w:hAnsi="宋体" w:eastAsia="宋体" w:cs="宋体"/>
                <w:b/>
                <w:sz w:val="24"/>
                <w:szCs w:val="24"/>
              </w:rPr>
            </w:pPr>
            <w:r>
              <w:rPr>
                <w:rFonts w:hint="eastAsia" w:ascii="宋体" w:hAnsi="宋体" w:eastAsia="宋体" w:cs="宋体"/>
                <w:b/>
                <w:sz w:val="24"/>
                <w:szCs w:val="24"/>
              </w:rPr>
              <w:t>单价</w:t>
            </w:r>
          </w:p>
        </w:tc>
        <w:tc>
          <w:tcPr>
            <w:tcW w:w="948" w:type="dxa"/>
            <w:shd w:val="clear" w:color="auto" w:fill="auto"/>
            <w:vAlign w:val="center"/>
          </w:tcPr>
          <w:p>
            <w:pPr>
              <w:widowControl/>
              <w:jc w:val="center"/>
              <w:rPr>
                <w:rFonts w:hint="eastAsia" w:ascii="宋体" w:hAnsi="宋体" w:eastAsia="宋体" w:cs="宋体"/>
                <w:b/>
                <w:sz w:val="24"/>
                <w:szCs w:val="24"/>
              </w:rPr>
            </w:pPr>
            <w:r>
              <w:rPr>
                <w:rFonts w:hint="eastAsia" w:ascii="宋体" w:hAnsi="宋体" w:eastAsia="宋体" w:cs="宋体"/>
                <w:b/>
                <w:sz w:val="24"/>
                <w:szCs w:val="24"/>
              </w:rPr>
              <w:t>合计</w:t>
            </w:r>
          </w:p>
        </w:tc>
        <w:tc>
          <w:tcPr>
            <w:tcW w:w="1344"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到货时间</w:t>
            </w:r>
          </w:p>
        </w:tc>
        <w:tc>
          <w:tcPr>
            <w:tcW w:w="823" w:type="dxa"/>
            <w:shd w:val="clear" w:color="auto" w:fill="auto"/>
            <w:vAlign w:val="center"/>
          </w:tcPr>
          <w:p>
            <w:pPr>
              <w:widowControl/>
              <w:jc w:val="center"/>
              <w:rPr>
                <w:rFonts w:hint="eastAsia" w:ascii="宋体" w:hAnsi="宋体" w:eastAsia="宋体" w:cs="宋体"/>
                <w:b/>
                <w:sz w:val="24"/>
                <w:szCs w:val="24"/>
              </w:rPr>
            </w:pPr>
            <w:r>
              <w:rPr>
                <w:rFonts w:hint="eastAsia" w:ascii="宋体" w:hAnsi="宋体" w:eastAsia="宋体" w:cs="宋体"/>
                <w:b/>
                <w:sz w:val="24"/>
                <w:szCs w:val="24"/>
              </w:rPr>
              <w:t>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15" w:type="dxa"/>
            <w:vAlign w:val="center"/>
          </w:tcPr>
          <w:p>
            <w:pPr>
              <w:jc w:val="center"/>
              <w:rPr>
                <w:rFonts w:hint="eastAsia" w:ascii="宋体" w:hAnsi="宋体" w:eastAsia="宋体" w:cs="宋体"/>
                <w:b w:val="0"/>
                <w:bCs w:val="0"/>
                <w:sz w:val="24"/>
                <w:szCs w:val="24"/>
                <w:lang w:val="en-US" w:eastAsia="zh-CN"/>
              </w:rPr>
            </w:pPr>
          </w:p>
        </w:tc>
        <w:tc>
          <w:tcPr>
            <w:tcW w:w="1560" w:type="dxa"/>
            <w:vAlign w:val="center"/>
          </w:tcPr>
          <w:p>
            <w:pPr>
              <w:jc w:val="center"/>
              <w:rPr>
                <w:rFonts w:hint="eastAsia" w:ascii="宋体" w:hAnsi="宋体" w:eastAsia="宋体" w:cs="宋体"/>
                <w:b w:val="0"/>
                <w:bCs w:val="0"/>
                <w:sz w:val="24"/>
                <w:szCs w:val="24"/>
              </w:rPr>
            </w:pPr>
          </w:p>
        </w:tc>
        <w:tc>
          <w:tcPr>
            <w:tcW w:w="864" w:type="dxa"/>
            <w:vAlign w:val="center"/>
          </w:tcPr>
          <w:p>
            <w:pPr>
              <w:jc w:val="center"/>
              <w:rPr>
                <w:rFonts w:hint="eastAsia" w:ascii="宋体" w:hAnsi="宋体" w:eastAsia="宋体" w:cs="宋体"/>
                <w:b w:val="0"/>
                <w:bCs w:val="0"/>
                <w:sz w:val="24"/>
                <w:szCs w:val="24"/>
                <w:lang w:val="en-US" w:eastAsia="zh-CN"/>
              </w:rPr>
            </w:pPr>
          </w:p>
        </w:tc>
        <w:tc>
          <w:tcPr>
            <w:tcW w:w="876" w:type="dxa"/>
            <w:vAlign w:val="center"/>
          </w:tcPr>
          <w:p>
            <w:pPr>
              <w:jc w:val="center"/>
              <w:rPr>
                <w:rFonts w:hint="eastAsia" w:ascii="宋体" w:hAnsi="宋体" w:eastAsia="宋体" w:cs="宋体"/>
                <w:b w:val="0"/>
                <w:bCs w:val="0"/>
                <w:sz w:val="24"/>
                <w:szCs w:val="24"/>
                <w:lang w:val="en-US" w:eastAsia="zh-CN"/>
              </w:rPr>
            </w:pPr>
          </w:p>
        </w:tc>
        <w:tc>
          <w:tcPr>
            <w:tcW w:w="828" w:type="dxa"/>
            <w:vAlign w:val="center"/>
          </w:tcPr>
          <w:p>
            <w:pPr>
              <w:jc w:val="center"/>
              <w:rPr>
                <w:rFonts w:hint="eastAsia" w:ascii="宋体" w:hAnsi="宋体" w:eastAsia="宋体" w:cs="宋体"/>
                <w:b w:val="0"/>
                <w:bCs w:val="0"/>
                <w:sz w:val="24"/>
                <w:szCs w:val="24"/>
                <w:lang w:val="en-US" w:eastAsia="zh-CN"/>
              </w:rPr>
            </w:pPr>
          </w:p>
        </w:tc>
        <w:tc>
          <w:tcPr>
            <w:tcW w:w="960" w:type="dxa"/>
            <w:shd w:val="clear" w:color="auto" w:fill="auto"/>
            <w:vAlign w:val="center"/>
          </w:tcPr>
          <w:p>
            <w:pPr>
              <w:widowControl/>
              <w:jc w:val="center"/>
              <w:rPr>
                <w:rFonts w:hint="eastAsia" w:ascii="宋体" w:hAnsi="宋体" w:eastAsia="宋体" w:cs="宋体"/>
                <w:b w:val="0"/>
                <w:bCs w:val="0"/>
                <w:sz w:val="24"/>
                <w:szCs w:val="24"/>
                <w:lang w:val="en-US" w:eastAsia="zh-CN"/>
              </w:rPr>
            </w:pPr>
          </w:p>
        </w:tc>
        <w:tc>
          <w:tcPr>
            <w:tcW w:w="948" w:type="dxa"/>
            <w:shd w:val="clear" w:color="auto" w:fill="auto"/>
            <w:vAlign w:val="center"/>
          </w:tcPr>
          <w:p>
            <w:pPr>
              <w:widowControl/>
              <w:jc w:val="center"/>
              <w:rPr>
                <w:rFonts w:hint="eastAsia" w:ascii="宋体" w:hAnsi="宋体" w:eastAsia="宋体" w:cs="宋体"/>
                <w:b w:val="0"/>
                <w:bCs w:val="0"/>
                <w:sz w:val="24"/>
                <w:szCs w:val="24"/>
              </w:rPr>
            </w:pPr>
          </w:p>
        </w:tc>
        <w:tc>
          <w:tcPr>
            <w:tcW w:w="1344" w:type="dxa"/>
            <w:shd w:val="clear" w:color="auto" w:fill="auto"/>
            <w:vAlign w:val="center"/>
          </w:tcPr>
          <w:p>
            <w:pPr>
              <w:widowControl/>
              <w:jc w:val="center"/>
              <w:rPr>
                <w:rFonts w:hint="eastAsia" w:ascii="宋体" w:hAnsi="宋体" w:eastAsia="宋体" w:cs="宋体"/>
                <w:b w:val="0"/>
                <w:bCs w:val="0"/>
                <w:sz w:val="24"/>
                <w:szCs w:val="24"/>
                <w:lang w:val="en-US" w:eastAsia="zh-CN"/>
              </w:rPr>
            </w:pPr>
          </w:p>
        </w:tc>
        <w:tc>
          <w:tcPr>
            <w:tcW w:w="823" w:type="dxa"/>
            <w:shd w:val="clear" w:color="auto" w:fill="auto"/>
            <w:vAlign w:val="center"/>
          </w:tcPr>
          <w:p>
            <w:pPr>
              <w:widowControl/>
              <w:jc w:val="center"/>
              <w:rPr>
                <w:rFonts w:hint="eastAsia" w:ascii="宋体" w:hAnsi="宋体" w:eastAsia="宋体" w:cs="宋体"/>
                <w:b w:val="0"/>
                <w:bCs w:val="0"/>
                <w:sz w:val="24"/>
                <w:szCs w:val="24"/>
                <w:lang w:val="en-US" w:eastAsia="zh-CN"/>
              </w:rPr>
            </w:pPr>
          </w:p>
        </w:tc>
      </w:tr>
    </w:tbl>
    <w:p>
      <w:pPr>
        <w:jc w:val="left"/>
        <w:rPr>
          <w:rFonts w:hint="eastAsia"/>
          <w:b/>
          <w:sz w:val="28"/>
          <w:szCs w:val="28"/>
        </w:rPr>
      </w:pPr>
    </w:p>
    <w:p>
      <w:pPr>
        <w:jc w:val="left"/>
        <w:rPr>
          <w:b/>
          <w:sz w:val="28"/>
          <w:szCs w:val="28"/>
        </w:rPr>
      </w:pPr>
      <w:r>
        <w:rPr>
          <w:rFonts w:hint="eastAsia"/>
          <w:b/>
          <w:sz w:val="28"/>
          <w:szCs w:val="28"/>
        </w:rPr>
        <w:t>商务与技术条款偏离表（无偏离则不填写）：</w:t>
      </w:r>
    </w:p>
    <w:tbl>
      <w:tblPr>
        <w:tblStyle w:val="9"/>
        <w:tblpPr w:leftFromText="180" w:rightFromText="180" w:vertAnchor="text" w:horzAnchor="margin" w:tblpXSpec="center" w:tblpY="203"/>
        <w:tblOverlap w:val="never"/>
        <w:tblW w:w="8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1"/>
        <w:gridCol w:w="2139"/>
        <w:gridCol w:w="2476"/>
        <w:gridCol w:w="1670"/>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sz w:val="24"/>
                <w:szCs w:val="24"/>
              </w:rPr>
            </w:pPr>
            <w:r>
              <w:rPr>
                <w:b/>
                <w:bCs/>
                <w:sz w:val="24"/>
                <w:szCs w:val="24"/>
              </w:rPr>
              <w:t>条款号</w:t>
            </w:r>
          </w:p>
        </w:tc>
        <w:tc>
          <w:tcPr>
            <w:tcW w:w="21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sz w:val="24"/>
                <w:szCs w:val="24"/>
              </w:rPr>
            </w:pPr>
            <w:r>
              <w:rPr>
                <w:rFonts w:hint="eastAsia"/>
                <w:b/>
                <w:bCs/>
                <w:sz w:val="24"/>
                <w:szCs w:val="24"/>
              </w:rPr>
              <w:t>参数</w:t>
            </w:r>
            <w:r>
              <w:rPr>
                <w:b/>
                <w:bCs/>
                <w:sz w:val="24"/>
                <w:szCs w:val="24"/>
              </w:rPr>
              <w:t>条款内容</w:t>
            </w:r>
          </w:p>
        </w:tc>
        <w:tc>
          <w:tcPr>
            <w:tcW w:w="2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sz w:val="24"/>
                <w:szCs w:val="24"/>
              </w:rPr>
            </w:pPr>
            <w:r>
              <w:rPr>
                <w:rFonts w:hint="eastAsia"/>
                <w:b/>
                <w:bCs/>
                <w:sz w:val="24"/>
                <w:szCs w:val="24"/>
              </w:rPr>
              <w:t>投标</w:t>
            </w:r>
            <w:r>
              <w:rPr>
                <w:b/>
                <w:bCs/>
                <w:sz w:val="24"/>
                <w:szCs w:val="24"/>
              </w:rPr>
              <w:t>人响应内容</w:t>
            </w:r>
          </w:p>
        </w:tc>
        <w:tc>
          <w:tcPr>
            <w:tcW w:w="1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sz w:val="24"/>
                <w:szCs w:val="24"/>
              </w:rPr>
            </w:pPr>
            <w:r>
              <w:rPr>
                <w:b/>
                <w:bCs/>
                <w:sz w:val="24"/>
                <w:szCs w:val="24"/>
              </w:rPr>
              <w:t>偏离</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b/>
                <w:bCs/>
                <w:sz w:val="24"/>
                <w:szCs w:val="24"/>
              </w:rPr>
            </w:pPr>
            <w:r>
              <w:rPr>
                <w:b/>
                <w:bCs/>
                <w:sz w:val="24"/>
                <w:szCs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21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2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1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21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2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1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21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2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1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21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2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1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p>
        </w:tc>
      </w:tr>
    </w:tbl>
    <w:p>
      <w:pPr>
        <w:jc w:val="left"/>
        <w:rPr>
          <w:b/>
          <w:sz w:val="28"/>
          <w:szCs w:val="28"/>
        </w:rPr>
      </w:pPr>
    </w:p>
    <w:p>
      <w:pPr>
        <w:jc w:val="left"/>
        <w:rPr>
          <w:rFonts w:hint="eastAsia" w:ascii="宋体" w:hAnsi="宋体" w:eastAsia="宋体" w:cs="宋体"/>
          <w:b/>
          <w:sz w:val="24"/>
          <w:szCs w:val="24"/>
        </w:rPr>
      </w:pPr>
      <w:r>
        <w:rPr>
          <w:rFonts w:hint="eastAsia" w:ascii="宋体" w:hAnsi="宋体" w:eastAsia="宋体" w:cs="宋体"/>
          <w:b/>
          <w:sz w:val="24"/>
          <w:szCs w:val="24"/>
        </w:rPr>
        <w:t>其他说明文件（可另附页）：</w:t>
      </w:r>
    </w:p>
    <w:p>
      <w:pPr>
        <w:jc w:val="left"/>
        <w:rPr>
          <w:rFonts w:hint="eastAsia" w:ascii="宋体" w:hAnsi="宋体" w:eastAsia="宋体" w:cs="宋体"/>
          <w:b/>
          <w:sz w:val="24"/>
          <w:szCs w:val="24"/>
        </w:rPr>
      </w:pPr>
    </w:p>
    <w:p>
      <w:pPr>
        <w:jc w:val="left"/>
        <w:rPr>
          <w:rFonts w:hint="eastAsia" w:ascii="宋体" w:hAnsi="宋体" w:eastAsia="宋体" w:cs="宋体"/>
          <w:b/>
          <w:sz w:val="24"/>
          <w:szCs w:val="24"/>
        </w:rPr>
      </w:pPr>
      <w:r>
        <w:rPr>
          <w:rFonts w:hint="eastAsia" w:ascii="宋体" w:hAnsi="宋体" w:eastAsia="宋体" w:cs="宋体"/>
          <w:b/>
          <w:sz w:val="24"/>
          <w:szCs w:val="24"/>
        </w:rPr>
        <w:t xml:space="preserve">联系人：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联系电话：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QQ:</w:t>
      </w:r>
    </w:p>
    <w:p>
      <w:pPr>
        <w:jc w:val="left"/>
        <w:rPr>
          <w:rFonts w:hint="eastAsia" w:ascii="宋体" w:hAnsi="宋体" w:eastAsia="宋体" w:cs="宋体"/>
          <w:b/>
          <w:sz w:val="24"/>
          <w:szCs w:val="24"/>
        </w:rPr>
      </w:pPr>
    </w:p>
    <w:p>
      <w:pPr>
        <w:jc w:val="left"/>
        <w:rPr>
          <w:rFonts w:hint="eastAsia" w:ascii="宋体" w:hAnsi="宋体" w:eastAsia="宋体" w:cs="宋体"/>
          <w:b/>
          <w:sz w:val="24"/>
          <w:szCs w:val="24"/>
        </w:rPr>
      </w:pPr>
      <w:r>
        <w:rPr>
          <w:rFonts w:hint="eastAsia" w:ascii="宋体" w:hAnsi="宋体" w:eastAsia="宋体" w:cs="宋体"/>
          <w:b/>
          <w:sz w:val="24"/>
          <w:szCs w:val="24"/>
        </w:rPr>
        <w:t xml:space="preserve">报价公司（章）：                         </w:t>
      </w:r>
    </w:p>
    <w:p>
      <w:pPr>
        <w:jc w:val="left"/>
        <w:rPr>
          <w:rFonts w:hint="eastAsia" w:ascii="宋体" w:hAnsi="宋体" w:eastAsia="宋体" w:cs="宋体"/>
          <w:b/>
          <w:sz w:val="24"/>
          <w:szCs w:val="24"/>
        </w:rPr>
      </w:pPr>
    </w:p>
    <w:p>
      <w:pPr>
        <w:ind w:firstLine="4578" w:firstLineChars="1900"/>
        <w:jc w:val="left"/>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年    月</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日</w:t>
      </w:r>
    </w:p>
    <w:p>
      <w:pPr>
        <w:ind w:firstLine="4578" w:firstLineChars="1900"/>
        <w:jc w:val="left"/>
        <w:rPr>
          <w:rFonts w:hint="eastAsia" w:ascii="宋体" w:hAnsi="宋体" w:eastAsia="宋体" w:cs="宋体"/>
          <w:b/>
          <w:sz w:val="24"/>
          <w:szCs w:val="24"/>
        </w:rPr>
      </w:pPr>
    </w:p>
    <w:p>
      <w:pPr>
        <w:ind w:firstLine="4578" w:firstLineChars="1900"/>
        <w:jc w:val="left"/>
        <w:rPr>
          <w:rFonts w:hint="eastAsia" w:ascii="宋体" w:hAnsi="宋体" w:eastAsia="宋体" w:cs="宋体"/>
          <w:b/>
          <w:sz w:val="24"/>
          <w:szCs w:val="24"/>
        </w:rPr>
      </w:pPr>
    </w:p>
    <w:p>
      <w:pPr>
        <w:ind w:firstLine="4578" w:firstLineChars="1900"/>
        <w:jc w:val="left"/>
        <w:rPr>
          <w:rFonts w:hint="eastAsia" w:ascii="宋体" w:hAnsi="宋体" w:eastAsia="宋体" w:cs="宋体"/>
          <w:b/>
          <w:sz w:val="24"/>
          <w:szCs w:val="24"/>
        </w:rPr>
      </w:pPr>
    </w:p>
    <w:p>
      <w:pPr>
        <w:ind w:firstLine="4578" w:firstLineChars="1900"/>
        <w:jc w:val="left"/>
        <w:rPr>
          <w:rFonts w:hint="eastAsia" w:ascii="宋体" w:hAnsi="宋体" w:eastAsia="宋体" w:cs="宋体"/>
          <w:b/>
          <w:sz w:val="24"/>
          <w:szCs w:val="24"/>
        </w:rPr>
      </w:pPr>
    </w:p>
    <w:p>
      <w:pPr>
        <w:ind w:firstLine="4578" w:firstLineChars="1900"/>
        <w:jc w:val="left"/>
        <w:rPr>
          <w:rFonts w:hint="eastAsia" w:ascii="宋体" w:hAnsi="宋体" w:eastAsia="宋体" w:cs="宋体"/>
          <w:b/>
          <w:sz w:val="24"/>
          <w:szCs w:val="24"/>
        </w:rPr>
      </w:pPr>
    </w:p>
    <w:p>
      <w:pPr>
        <w:ind w:firstLine="4578" w:firstLineChars="1900"/>
        <w:jc w:val="left"/>
        <w:rPr>
          <w:rFonts w:hint="eastAsia" w:ascii="宋体" w:hAnsi="宋体" w:eastAsia="宋体" w:cs="宋体"/>
          <w:b/>
          <w:sz w:val="24"/>
          <w:szCs w:val="24"/>
        </w:rPr>
      </w:pPr>
    </w:p>
    <w:p>
      <w:pPr>
        <w:ind w:firstLine="4578" w:firstLineChars="1900"/>
        <w:jc w:val="left"/>
        <w:rPr>
          <w:rFonts w:hint="eastAsia" w:ascii="宋体" w:hAnsi="宋体" w:eastAsia="宋体" w:cs="宋体"/>
          <w:b/>
          <w:sz w:val="24"/>
          <w:szCs w:val="24"/>
        </w:rPr>
      </w:pPr>
    </w:p>
    <w:p>
      <w:pPr>
        <w:ind w:firstLine="4578" w:firstLineChars="1900"/>
        <w:jc w:val="left"/>
        <w:rPr>
          <w:rFonts w:hint="eastAsia" w:ascii="宋体" w:hAnsi="宋体" w:eastAsia="宋体" w:cs="宋体"/>
          <w:b/>
          <w:sz w:val="24"/>
          <w:szCs w:val="24"/>
        </w:rPr>
      </w:pPr>
    </w:p>
    <w:p>
      <w:pPr>
        <w:ind w:firstLine="4578" w:firstLineChars="1900"/>
        <w:jc w:val="left"/>
        <w:rPr>
          <w:rFonts w:hint="eastAsia" w:ascii="宋体" w:hAnsi="宋体" w:eastAsia="宋体" w:cs="宋体"/>
          <w:b/>
          <w:sz w:val="24"/>
          <w:szCs w:val="24"/>
        </w:rPr>
      </w:pPr>
    </w:p>
    <w:p>
      <w:pPr>
        <w:spacing w:line="1100" w:lineRule="exact"/>
        <w:ind w:right="-44" w:rightChars="-21"/>
        <w:jc w:val="both"/>
        <w:outlineLvl w:val="0"/>
        <w:rPr>
          <w:rFonts w:hint="eastAsia" w:ascii="方正小标宋简体" w:eastAsia="方正小标宋简体"/>
          <w:b/>
          <w:color w:val="FF0000"/>
          <w:spacing w:val="68"/>
          <w:w w:val="80"/>
          <w:kern w:val="0"/>
          <w:sz w:val="96"/>
          <w:szCs w:val="96"/>
        </w:rPr>
      </w:pPr>
    </w:p>
    <w:p>
      <w:pPr>
        <w:spacing w:line="1500" w:lineRule="exact"/>
        <w:ind w:right="-149" w:rightChars="-71"/>
        <w:jc w:val="center"/>
        <w:outlineLvl w:val="0"/>
        <w:rPr>
          <w:rFonts w:hint="eastAsia" w:ascii="方正小标宋_GBK" w:hAnsi="方正小标宋_GBK" w:eastAsia="方正小标宋_GBK" w:cs="方正小标宋_GBK"/>
          <w:b/>
          <w:color w:val="FF0000"/>
          <w:spacing w:val="30"/>
          <w:w w:val="75"/>
          <w:sz w:val="120"/>
          <w:szCs w:val="120"/>
          <w:u w:val="single"/>
        </w:rPr>
      </w:pPr>
      <w:r>
        <w:rPr>
          <w:rFonts w:hint="eastAsia" w:ascii="方正小标宋_GBK" w:hAnsi="方正小标宋_GBK" w:eastAsia="方正小标宋_GBK" w:cs="方正小标宋_GBK"/>
          <w:b/>
          <w:color w:val="FF0000"/>
          <w:spacing w:val="30"/>
          <w:w w:val="75"/>
          <w:kern w:val="0"/>
          <w:sz w:val="120"/>
          <w:szCs w:val="120"/>
        </w:rPr>
        <w:t>江苏师范大学文件</w:t>
      </w:r>
    </w:p>
    <w:p>
      <w:pPr>
        <w:spacing w:line="276" w:lineRule="auto"/>
        <w:ind w:firstLine="420"/>
        <w:rPr>
          <w:rFonts w:hint="eastAsia" w:ascii="宋体" w:hAnsi="宋体"/>
          <w:color w:val="FF0000"/>
          <w:sz w:val="28"/>
        </w:rPr>
      </w:pPr>
    </w:p>
    <w:p>
      <w:pPr>
        <w:wordWrap w:val="0"/>
        <w:spacing w:line="400" w:lineRule="exact"/>
        <w:ind w:firstLine="420"/>
        <w:jc w:val="right"/>
        <w:rPr>
          <w:rFonts w:hint="eastAsia"/>
          <w:color w:val="000000"/>
          <w:szCs w:val="32"/>
        </w:rPr>
      </w:pPr>
      <w:r>
        <w:rPr>
          <w:rFonts w:hint="eastAsia"/>
          <w:color w:val="000000"/>
          <w:szCs w:val="32"/>
        </w:rPr>
        <w:t xml:space="preserve">  </w:t>
      </w:r>
    </w:p>
    <w:p>
      <w:pPr>
        <w:spacing w:line="400" w:lineRule="exact"/>
        <w:ind w:firstLine="420"/>
        <w:jc w:val="right"/>
        <w:rPr>
          <w:rFonts w:hint="eastAsia" w:ascii="宋体" w:hAnsi="宋体"/>
          <w:color w:val="000000"/>
          <w:szCs w:val="32"/>
        </w:rPr>
      </w:pPr>
    </w:p>
    <w:p>
      <w:pPr>
        <w:spacing w:line="560" w:lineRule="exact"/>
        <w:jc w:val="center"/>
        <w:rPr>
          <w:rFonts w:hint="eastAsia" w:ascii="仿宋" w:hAnsi="仿宋" w:eastAsia="仿宋" w:cs="仿宋"/>
          <w:position w:val="6"/>
          <w:szCs w:val="32"/>
        </w:rPr>
      </w:pPr>
      <w:bookmarkStart w:id="0" w:name="文件编号"/>
      <w:r>
        <w:rPr>
          <w:rFonts w:hint="eastAsia" w:ascii="仿宋" w:hAnsi="仿宋" w:eastAsia="仿宋" w:cs="仿宋"/>
          <w:color w:val="000000"/>
          <w:szCs w:val="32"/>
        </w:rPr>
        <w:t>苏师大实〔</w:t>
      </w:r>
      <w:r>
        <w:rPr>
          <w:rFonts w:ascii="仿宋" w:hAnsi="仿宋" w:eastAsia="仿宋" w:cs="仿宋"/>
          <w:color w:val="000000"/>
          <w:szCs w:val="32"/>
        </w:rPr>
        <w:t>2022〕4号</w:t>
      </w:r>
      <w:bookmarkEnd w:id="0"/>
    </w:p>
    <w:p>
      <w:pPr>
        <w:jc w:val="center"/>
        <w:rPr>
          <w:rFonts w:hint="eastAsia" w:hAnsi="Tahoma" w:cs="Tahoma"/>
          <w:color w:val="000000"/>
          <w:szCs w:val="32"/>
        </w:rPr>
      </w:pPr>
      <w:r>
        <w:rPr>
          <w:rFonts w:hint="eastAsia" w:hAnsi="Tahoma" w:cs="Tahoma"/>
          <w:color w:val="000000"/>
          <w:szCs w:val="32"/>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152400</wp:posOffset>
                </wp:positionV>
                <wp:extent cx="5429250" cy="22225"/>
                <wp:effectExtent l="0" t="12700" r="11430" b="26035"/>
                <wp:wrapNone/>
                <wp:docPr id="3" name="直接箭头连接符 3"/>
                <wp:cNvGraphicFramePr/>
                <a:graphic xmlns:a="http://schemas.openxmlformats.org/drawingml/2006/main">
                  <a:graphicData uri="http://schemas.microsoft.com/office/word/2010/wordprocessingShape">
                    <wps:wsp>
                      <wps:cNvCnPr/>
                      <wps:spPr>
                        <a:xfrm flipV="1">
                          <a:off x="0" y="0"/>
                          <a:ext cx="5429250" cy="2222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1.2pt;margin-top:12pt;height:1.75pt;width:427.5pt;z-index:251659264;mso-width-relative:page;mso-height-relative:page;" o:connectortype="straight" filled="f" stroked="t" coordsize="21600,21600" o:gfxdata="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Nn5lPWAAAACAEAAA8AAAAAAAAAAQAgAAAAIgAAAGRy&#10;cy9kb3ducmV2LnhtbFBLAQIUABQAAAAIAIdO4kDd9BPxBwIAAPsDAAAOAAAAAAAAAAEAIAAAACUB&#10;AABkcnMvZTJvRG9jLnhtbFBLBQYAAAAABgAGAFkBAACeBQAAAAA=&#10;">
                <v:fill on="f" focussize="0,0"/>
                <v:stroke weight="2pt" color="#FF0000" joinstyle="round"/>
                <v:imagedata o:title=""/>
                <o:lock v:ext="edit" aspectratio="f"/>
              </v:shape>
            </w:pict>
          </mc:Fallback>
        </mc:AlternateContent>
      </w:r>
    </w:p>
    <w:p>
      <w:pPr>
        <w:spacing w:line="400" w:lineRule="exact"/>
        <w:jc w:val="center"/>
        <w:rPr>
          <w:rFonts w:hint="eastAsia" w:ascii="方正小标宋简体" w:hAnsi="微软雅黑" w:eastAsia="方正小标宋简体"/>
          <w:sz w:val="44"/>
          <w:szCs w:val="44"/>
        </w:rPr>
      </w:pPr>
    </w:p>
    <w:p>
      <w:pPr>
        <w:spacing w:line="400" w:lineRule="exact"/>
        <w:jc w:val="center"/>
        <w:rPr>
          <w:rFonts w:hint="eastAsia" w:ascii="方正小标宋简体" w:hAnsi="微软雅黑" w:eastAsia="方正小标宋简体"/>
          <w:sz w:val="44"/>
          <w:szCs w:val="44"/>
        </w:rPr>
      </w:pPr>
    </w:p>
    <w:p>
      <w:pPr>
        <w:adjustRightInd w:val="0"/>
        <w:snapToGrid w:val="0"/>
        <w:spacing w:line="640" w:lineRule="exact"/>
        <w:jc w:val="center"/>
        <w:outlineLvl w:val="2"/>
        <w:rPr>
          <w:rFonts w:hint="eastAsia" w:ascii="方正小标宋简体" w:hAnsi="宋体" w:eastAsia="方正小标宋简体" w:cs="宋体"/>
          <w:bCs/>
          <w:kern w:val="0"/>
          <w:sz w:val="44"/>
          <w:szCs w:val="44"/>
        </w:rPr>
      </w:pPr>
      <w:bookmarkStart w:id="1" w:name="Content"/>
      <w:bookmarkEnd w:id="1"/>
      <w:r>
        <w:rPr>
          <w:rFonts w:hint="eastAsia" w:ascii="方正小标宋简体" w:hAnsi="方正小标宋_GBK" w:eastAsia="方正小标宋简体" w:cs="方正小标宋_GBK"/>
          <w:sz w:val="44"/>
          <w:szCs w:val="44"/>
        </w:rPr>
        <w:t>关于印发《</w:t>
      </w:r>
      <w:r>
        <w:rPr>
          <w:rFonts w:hint="eastAsia" w:ascii="方正小标宋简体" w:hAnsi="宋体" w:eastAsia="方正小标宋简体" w:cs="宋体"/>
          <w:bCs/>
          <w:kern w:val="0"/>
          <w:sz w:val="44"/>
          <w:szCs w:val="44"/>
        </w:rPr>
        <w:t>江苏师范大学实验室技术安全</w:t>
      </w:r>
    </w:p>
    <w:p>
      <w:pPr>
        <w:adjustRightInd w:val="0"/>
        <w:snapToGrid w:val="0"/>
        <w:spacing w:line="640" w:lineRule="exact"/>
        <w:jc w:val="center"/>
        <w:outlineLvl w:val="2"/>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量化管理实施细则（试行）</w:t>
      </w:r>
      <w:r>
        <w:rPr>
          <w:rFonts w:hint="eastAsia" w:ascii="方正小标宋简体" w:hAnsi="方正小标宋_GBK" w:eastAsia="方正小标宋简体" w:cs="方正小标宋_GBK"/>
          <w:sz w:val="44"/>
          <w:szCs w:val="44"/>
        </w:rPr>
        <w:t>》的通知</w:t>
      </w:r>
    </w:p>
    <w:p>
      <w:pPr>
        <w:spacing w:line="560" w:lineRule="exact"/>
        <w:ind w:firstLine="420" w:firstLineChars="200"/>
        <w:rPr>
          <w:rFonts w:hint="eastAsia" w:ascii="仿宋" w:hAnsi="仿宋" w:eastAsia="仿宋" w:cs="宋体"/>
          <w:szCs w:val="32"/>
        </w:rPr>
      </w:pPr>
      <w:r>
        <w:rPr>
          <w:rFonts w:hint="eastAsia" w:ascii="仿宋" w:hAnsi="仿宋" w:eastAsia="仿宋" w:cs="宋体"/>
          <w:szCs w:val="32"/>
        </w:rPr>
        <w:t xml:space="preserve"> </w:t>
      </w:r>
    </w:p>
    <w:p>
      <w:pPr>
        <w:spacing w:line="560" w:lineRule="exact"/>
        <w:rPr>
          <w:rFonts w:hint="eastAsia" w:ascii="仿宋" w:hAnsi="仿宋" w:eastAsia="仿宋" w:cs="宋体"/>
          <w:szCs w:val="32"/>
        </w:rPr>
      </w:pPr>
      <w:r>
        <w:rPr>
          <w:rFonts w:hint="eastAsia" w:ascii="仿宋" w:hAnsi="仿宋" w:eastAsia="仿宋" w:cs="宋体"/>
          <w:szCs w:val="32"/>
        </w:rPr>
        <w:t>校属各单位：</w:t>
      </w:r>
    </w:p>
    <w:p>
      <w:pPr>
        <w:adjustRightInd w:val="0"/>
        <w:snapToGrid w:val="0"/>
        <w:spacing w:line="560" w:lineRule="exact"/>
        <w:ind w:firstLine="420" w:firstLineChars="200"/>
        <w:rPr>
          <w:rFonts w:hint="eastAsia" w:ascii="仿宋" w:hAnsi="仿宋" w:eastAsia="仿宋" w:cs="宋体"/>
          <w:bCs/>
          <w:kern w:val="0"/>
          <w:szCs w:val="32"/>
        </w:rPr>
      </w:pPr>
      <w:r>
        <w:rPr>
          <w:rFonts w:hint="eastAsia" w:ascii="仿宋" w:hAnsi="仿宋" w:eastAsia="仿宋" w:cs="方正小标宋_GBK"/>
          <w:szCs w:val="32"/>
        </w:rPr>
        <w:t>《</w:t>
      </w:r>
      <w:r>
        <w:rPr>
          <w:rFonts w:hint="eastAsia" w:ascii="仿宋" w:hAnsi="仿宋" w:eastAsia="仿宋" w:cs="宋体"/>
          <w:bCs/>
          <w:kern w:val="0"/>
          <w:szCs w:val="32"/>
        </w:rPr>
        <w:t>江苏师范大学实验室技术安全量化管理实施细则（试行）</w:t>
      </w:r>
      <w:r>
        <w:rPr>
          <w:rFonts w:hint="eastAsia" w:ascii="仿宋" w:hAnsi="仿宋" w:eastAsia="仿宋" w:cs="宋体"/>
          <w:szCs w:val="32"/>
        </w:rPr>
        <w:t>》已经学校研究通过，现予印发，请遵照执行。</w:t>
      </w:r>
    </w:p>
    <w:p>
      <w:pPr>
        <w:spacing w:line="560" w:lineRule="exact"/>
        <w:ind w:firstLine="420" w:firstLineChars="200"/>
        <w:rPr>
          <w:rFonts w:hint="eastAsia" w:ascii="仿宋" w:hAnsi="仿宋" w:eastAsia="仿宋" w:cs="宋体"/>
          <w:szCs w:val="32"/>
        </w:rPr>
      </w:pPr>
      <w:r>
        <w:rPr>
          <w:rFonts w:hint="eastAsia" w:ascii="仿宋" w:hAnsi="仿宋" w:eastAsia="仿宋" w:cs="宋体"/>
          <w:szCs w:val="32"/>
        </w:rPr>
        <w:t xml:space="preserve"> </w:t>
      </w:r>
    </w:p>
    <w:p>
      <w:pPr>
        <w:spacing w:line="560" w:lineRule="exact"/>
        <w:ind w:firstLine="420" w:firstLineChars="200"/>
        <w:rPr>
          <w:rFonts w:hint="eastAsia" w:ascii="仿宋" w:hAnsi="仿宋" w:eastAsia="仿宋" w:cs="宋体"/>
          <w:szCs w:val="32"/>
        </w:rPr>
      </w:pPr>
      <w:r>
        <w:rPr>
          <w:rFonts w:hint="eastAsia" w:ascii="仿宋" w:hAnsi="仿宋" w:eastAsia="仿宋" w:cs="宋体"/>
          <w:szCs w:val="32"/>
        </w:rPr>
        <w:t xml:space="preserve"> </w:t>
      </w:r>
    </w:p>
    <w:p>
      <w:pPr>
        <w:spacing w:line="560" w:lineRule="exact"/>
        <w:ind w:firstLine="3360" w:firstLineChars="1600"/>
        <w:rPr>
          <w:rFonts w:hint="eastAsia" w:ascii="仿宋" w:hAnsi="仿宋" w:eastAsia="仿宋" w:cs="宋体"/>
          <w:szCs w:val="32"/>
        </w:rPr>
      </w:pPr>
      <w:r>
        <w:rPr>
          <w:rFonts w:hint="eastAsia" w:ascii="仿宋" w:hAnsi="仿宋" w:eastAsia="仿宋" w:cs="宋体"/>
          <w:szCs w:val="32"/>
        </w:rPr>
        <w:t>江苏师范大学</w:t>
      </w:r>
    </w:p>
    <w:p>
      <w:pPr>
        <w:spacing w:line="560" w:lineRule="exact"/>
        <w:ind w:firstLine="3150" w:firstLineChars="1500"/>
        <w:rPr>
          <w:rFonts w:hint="eastAsia" w:ascii="仿宋" w:hAnsi="仿宋" w:eastAsia="仿宋" w:cs="宋体"/>
          <w:szCs w:val="32"/>
        </w:rPr>
      </w:pPr>
      <w:r>
        <w:rPr>
          <w:rFonts w:hint="eastAsia" w:ascii="仿宋" w:hAnsi="仿宋" w:eastAsia="仿宋" w:cs="宋体"/>
          <w:szCs w:val="32"/>
        </w:rPr>
        <w:t>2022年</w:t>
      </w:r>
      <w:r>
        <w:rPr>
          <w:rFonts w:ascii="仿宋" w:hAnsi="仿宋" w:eastAsia="仿宋" w:cs="宋体"/>
          <w:szCs w:val="32"/>
        </w:rPr>
        <w:t>10</w:t>
      </w:r>
      <w:r>
        <w:rPr>
          <w:rFonts w:hint="eastAsia" w:ascii="仿宋" w:hAnsi="仿宋" w:eastAsia="仿宋" w:cs="宋体"/>
          <w:szCs w:val="32"/>
        </w:rPr>
        <w:t>月</w:t>
      </w:r>
      <w:r>
        <w:rPr>
          <w:rFonts w:ascii="仿宋" w:hAnsi="仿宋" w:eastAsia="仿宋" w:cs="宋体"/>
          <w:szCs w:val="32"/>
        </w:rPr>
        <w:t>28</w:t>
      </w:r>
      <w:r>
        <w:rPr>
          <w:rFonts w:hint="eastAsia" w:ascii="仿宋" w:hAnsi="仿宋" w:eastAsia="仿宋" w:cs="宋体"/>
          <w:szCs w:val="32"/>
        </w:rPr>
        <w:t>日</w:t>
      </w:r>
    </w:p>
    <w:p>
      <w:pPr>
        <w:adjustRightInd w:val="0"/>
        <w:snapToGrid w:val="0"/>
        <w:spacing w:line="560" w:lineRule="exact"/>
        <w:ind w:firstLine="420" w:firstLineChars="200"/>
        <w:rPr>
          <w:rFonts w:ascii="仿宋" w:hAnsi="仿宋" w:eastAsia="仿宋" w:cs="宋体"/>
          <w:bCs/>
          <w:kern w:val="0"/>
          <w:szCs w:val="32"/>
        </w:rPr>
      </w:pPr>
    </w:p>
    <w:p>
      <w:pPr>
        <w:adjustRightInd w:val="0"/>
        <w:snapToGrid w:val="0"/>
        <w:spacing w:line="640" w:lineRule="exact"/>
        <w:outlineLvl w:val="2"/>
        <w:rPr>
          <w:rFonts w:hint="eastAsia" w:ascii="方正小标宋简体" w:hAnsi="宋体" w:eastAsia="方正小标宋简体" w:cs="宋体"/>
          <w:bCs/>
          <w:kern w:val="0"/>
          <w:sz w:val="44"/>
          <w:szCs w:val="44"/>
        </w:rPr>
      </w:pPr>
    </w:p>
    <w:p>
      <w:pPr>
        <w:tabs>
          <w:tab w:val="left" w:pos="3447"/>
        </w:tabs>
        <w:adjustRightInd/>
        <w:snapToGrid/>
        <w:spacing w:line="240" w:lineRule="auto"/>
        <w:jc w:val="left"/>
        <w:outlineLvl w:val="9"/>
        <w:rPr>
          <w:rFonts w:hint="eastAsia" w:ascii="仿宋_GB2312" w:eastAsia="仿宋_GB2312"/>
          <w:kern w:val="2"/>
          <w:sz w:val="32"/>
          <w:szCs w:val="24"/>
          <w:lang w:val="en-US" w:eastAsia="zh-CN" w:bidi="ar-SA"/>
        </w:rPr>
      </w:pPr>
      <w:r>
        <w:rPr>
          <w:rFonts w:hint="eastAsia"/>
          <w:kern w:val="2"/>
          <w:sz w:val="32"/>
          <w:szCs w:val="24"/>
          <w:lang w:val="en-US" w:eastAsia="zh-CN" w:bidi="ar-SA"/>
        </w:rPr>
        <w:tab/>
      </w:r>
    </w:p>
    <w:p>
      <w:pPr>
        <w:adjustRightInd w:val="0"/>
        <w:snapToGrid w:val="0"/>
        <w:spacing w:line="640" w:lineRule="exact"/>
        <w:jc w:val="center"/>
        <w:outlineLvl w:val="2"/>
        <w:rPr>
          <w:rFonts w:ascii="方正小标宋简体" w:hAnsi="宋体" w:eastAsia="方正小标宋简体" w:cs="宋体"/>
          <w:bCs/>
          <w:kern w:val="0"/>
          <w:sz w:val="44"/>
          <w:szCs w:val="44"/>
        </w:rPr>
      </w:pPr>
      <w:r>
        <w:rPr>
          <w:rFonts w:hint="eastAsia" w:ascii="方正小标宋简体" w:hAnsi="宋体" w:eastAsia="方正小标宋简体" w:cs="宋体"/>
          <w:bCs/>
          <w:spacing w:val="-14"/>
          <w:kern w:val="0"/>
          <w:sz w:val="44"/>
          <w:szCs w:val="44"/>
        </w:rPr>
        <w:t>江苏师范大学实验室技术安全量化管理实施细则</w:t>
      </w:r>
      <w:r>
        <w:rPr>
          <w:rFonts w:hint="eastAsia" w:ascii="方正小标宋简体" w:hAnsi="宋体" w:eastAsia="方正小标宋简体" w:cs="宋体"/>
          <w:bCs/>
          <w:kern w:val="0"/>
          <w:sz w:val="44"/>
          <w:szCs w:val="44"/>
        </w:rPr>
        <w:t>（试行）</w:t>
      </w:r>
    </w:p>
    <w:p>
      <w:pPr>
        <w:widowControl/>
        <w:adjustRightInd w:val="0"/>
        <w:snapToGrid w:val="0"/>
        <w:spacing w:before="435" w:beforeLines="100" w:after="217" w:afterLines="50" w:line="560" w:lineRule="exact"/>
        <w:jc w:val="center"/>
        <w:rPr>
          <w:rFonts w:ascii="黑体" w:hAnsi="黑体" w:eastAsia="黑体"/>
          <w:b/>
          <w:color w:val="000000"/>
          <w:szCs w:val="32"/>
        </w:rPr>
      </w:pPr>
      <w:r>
        <w:rPr>
          <w:rFonts w:hint="eastAsia" w:ascii="黑体" w:hAnsi="黑体" w:eastAsia="黑体" w:cs="仿宋_GB2312"/>
          <w:bCs/>
          <w:color w:val="000000"/>
          <w:kern w:val="0"/>
          <w:szCs w:val="32"/>
        </w:rPr>
        <w:t>第一章</w:t>
      </w:r>
      <w:r>
        <w:rPr>
          <w:rFonts w:ascii="黑体" w:hAnsi="黑体" w:eastAsia="黑体" w:cs="仿宋_GB2312"/>
          <w:bCs/>
          <w:color w:val="000000"/>
          <w:kern w:val="0"/>
          <w:szCs w:val="32"/>
        </w:rPr>
        <w:t xml:space="preserve">  </w:t>
      </w:r>
      <w:r>
        <w:rPr>
          <w:rFonts w:hint="eastAsia" w:ascii="黑体" w:hAnsi="黑体" w:eastAsia="黑体" w:cs="仿宋_GB2312"/>
          <w:bCs/>
          <w:color w:val="000000"/>
          <w:kern w:val="0"/>
          <w:szCs w:val="32"/>
        </w:rPr>
        <w:t>总则</w:t>
      </w:r>
    </w:p>
    <w:p>
      <w:pPr>
        <w:spacing w:line="560" w:lineRule="exact"/>
        <w:ind w:firstLine="420" w:firstLineChars="200"/>
        <w:rPr>
          <w:rFonts w:ascii="仿宋" w:hAnsi="仿宋" w:eastAsia="仿宋"/>
          <w:color w:val="000000"/>
          <w:szCs w:val="32"/>
        </w:rPr>
      </w:pPr>
      <w:r>
        <w:rPr>
          <w:rFonts w:hint="eastAsia" w:ascii="黑体" w:hAnsi="黑体" w:eastAsia="黑体"/>
          <w:bCs/>
          <w:color w:val="000000"/>
          <w:szCs w:val="32"/>
        </w:rPr>
        <w:t>第一</w:t>
      </w:r>
      <w:r>
        <w:rPr>
          <w:rFonts w:ascii="黑体" w:hAnsi="黑体" w:eastAsia="黑体"/>
          <w:bCs/>
          <w:color w:val="000000"/>
          <w:szCs w:val="32"/>
        </w:rPr>
        <w:t>条</w:t>
      </w:r>
      <w:r>
        <w:rPr>
          <w:rFonts w:hint="eastAsia" w:ascii="仿宋" w:hAnsi="仿宋" w:eastAsia="仿宋"/>
          <w:color w:val="000000"/>
          <w:szCs w:val="32"/>
        </w:rPr>
        <w:t xml:space="preserve">  为落实《江苏</w:t>
      </w:r>
      <w:r>
        <w:rPr>
          <w:rFonts w:ascii="仿宋" w:hAnsi="仿宋" w:eastAsia="仿宋"/>
          <w:color w:val="000000"/>
          <w:szCs w:val="32"/>
        </w:rPr>
        <w:t>师范大学实验室</w:t>
      </w:r>
      <w:r>
        <w:rPr>
          <w:rFonts w:hint="eastAsia" w:ascii="仿宋" w:hAnsi="仿宋" w:eastAsia="仿宋"/>
          <w:color w:val="000000"/>
          <w:szCs w:val="32"/>
        </w:rPr>
        <w:t>技术</w:t>
      </w:r>
      <w:r>
        <w:rPr>
          <w:rFonts w:ascii="仿宋" w:hAnsi="仿宋" w:eastAsia="仿宋"/>
          <w:color w:val="000000"/>
          <w:szCs w:val="32"/>
        </w:rPr>
        <w:t>安全</w:t>
      </w:r>
      <w:r>
        <w:rPr>
          <w:rFonts w:hint="eastAsia" w:ascii="仿宋" w:hAnsi="仿宋" w:eastAsia="仿宋"/>
          <w:color w:val="000000"/>
          <w:szCs w:val="32"/>
        </w:rPr>
        <w:t>管理</w:t>
      </w:r>
      <w:r>
        <w:rPr>
          <w:rFonts w:ascii="仿宋" w:hAnsi="仿宋" w:eastAsia="仿宋"/>
          <w:color w:val="000000"/>
          <w:szCs w:val="32"/>
        </w:rPr>
        <w:t>办法</w:t>
      </w:r>
      <w:r>
        <w:rPr>
          <w:rFonts w:hint="eastAsia" w:ascii="仿宋" w:hAnsi="仿宋" w:eastAsia="仿宋"/>
          <w:color w:val="000000"/>
          <w:szCs w:val="32"/>
        </w:rPr>
        <w:t>》相关</w:t>
      </w:r>
      <w:r>
        <w:rPr>
          <w:rFonts w:ascii="仿宋" w:hAnsi="仿宋" w:eastAsia="仿宋"/>
          <w:color w:val="000000"/>
          <w:szCs w:val="32"/>
        </w:rPr>
        <w:t>要求</w:t>
      </w:r>
      <w:r>
        <w:rPr>
          <w:rFonts w:hint="eastAsia" w:ascii="仿宋" w:hAnsi="仿宋" w:eastAsia="仿宋"/>
          <w:color w:val="000000"/>
          <w:szCs w:val="32"/>
        </w:rPr>
        <w:t>，</w:t>
      </w:r>
      <w:r>
        <w:rPr>
          <w:rFonts w:ascii="仿宋" w:hAnsi="仿宋" w:eastAsia="仿宋"/>
          <w:color w:val="000000"/>
          <w:szCs w:val="32"/>
        </w:rPr>
        <w:t>强化安全意识</w:t>
      </w:r>
      <w:r>
        <w:rPr>
          <w:rFonts w:hint="eastAsia" w:ascii="仿宋" w:hAnsi="仿宋" w:eastAsia="仿宋"/>
          <w:color w:val="000000"/>
          <w:szCs w:val="32"/>
        </w:rPr>
        <w:t>，保护师生人身安全，</w:t>
      </w:r>
      <w:r>
        <w:rPr>
          <w:rFonts w:ascii="仿宋" w:hAnsi="仿宋" w:eastAsia="仿宋"/>
          <w:color w:val="000000"/>
          <w:szCs w:val="32"/>
        </w:rPr>
        <w:t>对实验室安全</w:t>
      </w:r>
      <w:r>
        <w:rPr>
          <w:rFonts w:hint="eastAsia" w:ascii="仿宋" w:hAnsi="仿宋" w:eastAsia="仿宋"/>
          <w:color w:val="000000"/>
          <w:szCs w:val="32"/>
        </w:rPr>
        <w:t>隐患实行</w:t>
      </w:r>
      <w:r>
        <w:rPr>
          <w:rFonts w:ascii="仿宋" w:hAnsi="仿宋" w:eastAsia="仿宋"/>
          <w:color w:val="000000"/>
          <w:szCs w:val="32"/>
        </w:rPr>
        <w:t>量化管理，</w:t>
      </w:r>
      <w:r>
        <w:rPr>
          <w:rFonts w:hint="eastAsia" w:ascii="仿宋" w:hAnsi="仿宋" w:eastAsia="仿宋"/>
          <w:color w:val="000000"/>
          <w:szCs w:val="32"/>
        </w:rPr>
        <w:t>制</w:t>
      </w:r>
      <w:r>
        <w:rPr>
          <w:rFonts w:ascii="仿宋" w:hAnsi="仿宋" w:eastAsia="仿宋"/>
          <w:color w:val="000000"/>
          <w:szCs w:val="32"/>
        </w:rPr>
        <w:t>订本细则</w:t>
      </w:r>
      <w:r>
        <w:rPr>
          <w:rFonts w:hint="eastAsia" w:ascii="仿宋" w:hAnsi="仿宋" w:eastAsia="仿宋"/>
          <w:color w:val="000000"/>
          <w:szCs w:val="32"/>
        </w:rPr>
        <w:t>。</w:t>
      </w:r>
    </w:p>
    <w:p>
      <w:pPr>
        <w:spacing w:line="560" w:lineRule="exact"/>
        <w:ind w:firstLine="420" w:firstLineChars="200"/>
        <w:rPr>
          <w:rFonts w:ascii="仿宋" w:hAnsi="仿宋" w:eastAsia="仿宋"/>
          <w:color w:val="000000"/>
          <w:szCs w:val="32"/>
        </w:rPr>
      </w:pPr>
      <w:r>
        <w:rPr>
          <w:rFonts w:hint="eastAsia" w:ascii="黑体" w:hAnsi="黑体" w:eastAsia="黑体"/>
          <w:bCs/>
          <w:color w:val="000000"/>
          <w:szCs w:val="32"/>
        </w:rPr>
        <w:t>第二条</w:t>
      </w:r>
      <w:r>
        <w:rPr>
          <w:rFonts w:hint="eastAsia" w:ascii="仿宋" w:hAnsi="仿宋" w:eastAsia="仿宋"/>
          <w:color w:val="000000"/>
          <w:szCs w:val="32"/>
        </w:rPr>
        <w:t xml:space="preserve">  实验室安全量化管理</w:t>
      </w:r>
      <w:r>
        <w:rPr>
          <w:rFonts w:ascii="仿宋" w:hAnsi="仿宋" w:eastAsia="仿宋"/>
          <w:color w:val="000000"/>
          <w:szCs w:val="32"/>
        </w:rPr>
        <w:t>是指</w:t>
      </w:r>
      <w:r>
        <w:rPr>
          <w:rFonts w:hint="eastAsia" w:ascii="仿宋" w:hAnsi="仿宋" w:eastAsia="仿宋"/>
          <w:color w:val="000000"/>
          <w:szCs w:val="32"/>
        </w:rPr>
        <w:t>对实验室中存在的技术安全隐患通过计分的形式进行定量化管理。</w:t>
      </w:r>
    </w:p>
    <w:p>
      <w:pPr>
        <w:spacing w:line="560" w:lineRule="exact"/>
        <w:ind w:firstLine="420" w:firstLineChars="200"/>
        <w:rPr>
          <w:rFonts w:ascii="仿宋" w:hAnsi="仿宋" w:eastAsia="仿宋"/>
          <w:color w:val="000000"/>
          <w:szCs w:val="32"/>
        </w:rPr>
      </w:pPr>
      <w:r>
        <w:rPr>
          <w:rFonts w:hint="eastAsia" w:ascii="黑体" w:hAnsi="黑体" w:eastAsia="黑体"/>
          <w:bCs/>
          <w:color w:val="000000"/>
          <w:szCs w:val="32"/>
        </w:rPr>
        <w:t>第三条</w:t>
      </w:r>
      <w:r>
        <w:rPr>
          <w:rFonts w:hint="eastAsia" w:ascii="黑体" w:hAnsi="黑体" w:eastAsia="黑体"/>
          <w:b w:val="0"/>
          <w:bCs/>
          <w:color w:val="000000"/>
          <w:szCs w:val="32"/>
        </w:rPr>
        <w:t xml:space="preserve"> </w:t>
      </w:r>
      <w:r>
        <w:rPr>
          <w:rFonts w:hint="eastAsia" w:ascii="仿宋" w:hAnsi="仿宋" w:eastAsia="仿宋"/>
          <w:b/>
          <w:color w:val="000000"/>
          <w:szCs w:val="32"/>
        </w:rPr>
        <w:t xml:space="preserve"> </w:t>
      </w:r>
      <w:r>
        <w:rPr>
          <w:rFonts w:hint="eastAsia" w:ascii="仿宋" w:hAnsi="仿宋" w:eastAsia="仿宋"/>
          <w:color w:val="000000"/>
          <w:szCs w:val="32"/>
        </w:rPr>
        <w:t>隐患</w:t>
      </w:r>
      <w:r>
        <w:rPr>
          <w:rFonts w:ascii="仿宋" w:hAnsi="仿宋" w:eastAsia="仿宋"/>
          <w:color w:val="000000"/>
          <w:szCs w:val="32"/>
        </w:rPr>
        <w:t>分级</w:t>
      </w:r>
      <w:r>
        <w:rPr>
          <w:rFonts w:hint="eastAsia" w:ascii="仿宋" w:hAnsi="仿宋" w:eastAsia="仿宋"/>
          <w:color w:val="000000"/>
          <w:szCs w:val="32"/>
        </w:rPr>
        <w:t>。根据</w:t>
      </w:r>
      <w:r>
        <w:rPr>
          <w:rFonts w:ascii="仿宋" w:hAnsi="仿宋" w:eastAsia="仿宋"/>
          <w:color w:val="000000"/>
          <w:szCs w:val="32"/>
        </w:rPr>
        <w:t>教育部《</w:t>
      </w:r>
      <w:r>
        <w:rPr>
          <w:rFonts w:hint="eastAsia" w:ascii="仿宋" w:hAnsi="仿宋" w:eastAsia="仿宋"/>
          <w:color w:val="000000"/>
          <w:szCs w:val="32"/>
        </w:rPr>
        <w:t>高等</w:t>
      </w:r>
      <w:r>
        <w:rPr>
          <w:rFonts w:ascii="仿宋" w:hAnsi="仿宋" w:eastAsia="仿宋"/>
          <w:color w:val="000000"/>
          <w:szCs w:val="32"/>
        </w:rPr>
        <w:t>学校实验室</w:t>
      </w:r>
      <w:r>
        <w:rPr>
          <w:rFonts w:hint="eastAsia" w:ascii="仿宋" w:hAnsi="仿宋" w:eastAsia="仿宋"/>
          <w:color w:val="000000"/>
          <w:szCs w:val="32"/>
        </w:rPr>
        <w:t>安全</w:t>
      </w:r>
      <w:r>
        <w:rPr>
          <w:rFonts w:ascii="仿宋" w:hAnsi="仿宋" w:eastAsia="仿宋"/>
          <w:color w:val="000000"/>
          <w:szCs w:val="32"/>
        </w:rPr>
        <w:t>检查项目表》</w:t>
      </w:r>
      <w:r>
        <w:rPr>
          <w:rFonts w:hint="eastAsia" w:ascii="仿宋" w:hAnsi="仿宋" w:eastAsia="仿宋"/>
          <w:color w:val="000000"/>
          <w:szCs w:val="32"/>
        </w:rPr>
        <w:t>，</w:t>
      </w:r>
      <w:r>
        <w:rPr>
          <w:rFonts w:ascii="仿宋" w:hAnsi="仿宋" w:eastAsia="仿宋"/>
          <w:color w:val="000000"/>
          <w:szCs w:val="32"/>
        </w:rPr>
        <w:t>将隐患</w:t>
      </w:r>
      <w:r>
        <w:rPr>
          <w:rFonts w:hint="eastAsia" w:ascii="仿宋" w:hAnsi="仿宋" w:eastAsia="仿宋"/>
          <w:color w:val="000000"/>
          <w:szCs w:val="32"/>
        </w:rPr>
        <w:t>等级</w:t>
      </w:r>
      <w:r>
        <w:rPr>
          <w:rFonts w:ascii="仿宋" w:hAnsi="仿宋" w:eastAsia="仿宋"/>
          <w:color w:val="000000"/>
          <w:szCs w:val="32"/>
        </w:rPr>
        <w:t>划分如下：</w:t>
      </w:r>
    </w:p>
    <w:p>
      <w:pPr>
        <w:spacing w:line="560" w:lineRule="exact"/>
        <w:ind w:firstLine="420" w:firstLineChars="200"/>
        <w:rPr>
          <w:rFonts w:ascii="仿宋" w:hAnsi="仿宋" w:eastAsia="仿宋"/>
          <w:color w:val="000000"/>
          <w:szCs w:val="32"/>
        </w:rPr>
      </w:pPr>
      <w:r>
        <w:rPr>
          <w:rFonts w:hint="eastAsia" w:ascii="仿宋" w:hAnsi="仿宋" w:eastAsia="仿宋"/>
          <w:color w:val="000000"/>
          <w:szCs w:val="32"/>
        </w:rPr>
        <w:t>1.重大隐患：</w:t>
      </w:r>
      <w:r>
        <w:rPr>
          <w:rFonts w:ascii="仿宋" w:hAnsi="仿宋" w:eastAsia="仿宋"/>
          <w:color w:val="000000"/>
          <w:szCs w:val="32"/>
        </w:rPr>
        <w:t>极有可能直接导致</w:t>
      </w:r>
      <w:r>
        <w:rPr>
          <w:rFonts w:hint="eastAsia" w:ascii="仿宋" w:hAnsi="仿宋" w:eastAsia="仿宋"/>
          <w:color w:val="000000"/>
          <w:szCs w:val="32"/>
        </w:rPr>
        <w:t>安全</w:t>
      </w:r>
      <w:r>
        <w:rPr>
          <w:rFonts w:ascii="仿宋" w:hAnsi="仿宋" w:eastAsia="仿宋"/>
          <w:color w:val="000000"/>
          <w:szCs w:val="32"/>
        </w:rPr>
        <w:t>事故或严重违反安全制度的现象。</w:t>
      </w:r>
    </w:p>
    <w:p>
      <w:pPr>
        <w:spacing w:line="560" w:lineRule="exact"/>
        <w:ind w:firstLine="420" w:firstLineChars="200"/>
        <w:rPr>
          <w:rFonts w:ascii="仿宋" w:hAnsi="仿宋" w:eastAsia="仿宋"/>
          <w:color w:val="000000"/>
          <w:szCs w:val="32"/>
        </w:rPr>
      </w:pPr>
      <w:r>
        <w:rPr>
          <w:rFonts w:hint="eastAsia" w:ascii="仿宋" w:hAnsi="仿宋" w:eastAsia="仿宋"/>
          <w:color w:val="000000"/>
          <w:szCs w:val="32"/>
        </w:rPr>
        <w:t>2.</w:t>
      </w:r>
      <w:r>
        <w:rPr>
          <w:rFonts w:ascii="仿宋" w:hAnsi="仿宋" w:eastAsia="仿宋"/>
          <w:color w:val="000000"/>
          <w:szCs w:val="32"/>
        </w:rPr>
        <w:t>严重</w:t>
      </w:r>
      <w:r>
        <w:rPr>
          <w:rFonts w:hint="eastAsia" w:ascii="仿宋" w:hAnsi="仿宋" w:eastAsia="仿宋"/>
          <w:color w:val="000000"/>
          <w:szCs w:val="32"/>
        </w:rPr>
        <w:t>隐患：</w:t>
      </w:r>
      <w:r>
        <w:rPr>
          <w:rFonts w:ascii="仿宋" w:hAnsi="仿宋" w:eastAsia="仿宋"/>
          <w:color w:val="000000"/>
          <w:szCs w:val="32"/>
        </w:rPr>
        <w:t>较大可能直接或间接导致</w:t>
      </w:r>
      <w:r>
        <w:rPr>
          <w:rFonts w:hint="eastAsia" w:ascii="仿宋" w:hAnsi="仿宋" w:eastAsia="仿宋"/>
          <w:color w:val="000000"/>
          <w:szCs w:val="32"/>
        </w:rPr>
        <w:t>安全</w:t>
      </w:r>
      <w:r>
        <w:rPr>
          <w:rFonts w:ascii="仿宋" w:hAnsi="仿宋" w:eastAsia="仿宋"/>
          <w:color w:val="000000"/>
          <w:szCs w:val="32"/>
        </w:rPr>
        <w:t>事故</w:t>
      </w:r>
      <w:r>
        <w:rPr>
          <w:rFonts w:hint="eastAsia" w:ascii="仿宋" w:hAnsi="仿宋" w:eastAsia="仿宋"/>
          <w:color w:val="000000"/>
          <w:szCs w:val="32"/>
        </w:rPr>
        <w:t>，</w:t>
      </w:r>
      <w:r>
        <w:rPr>
          <w:rFonts w:ascii="仿宋" w:hAnsi="仿宋" w:eastAsia="仿宋"/>
          <w:color w:val="000000"/>
          <w:szCs w:val="32"/>
        </w:rPr>
        <w:t>或严重违反安全制度的现象。</w:t>
      </w:r>
    </w:p>
    <w:p>
      <w:pPr>
        <w:spacing w:line="560" w:lineRule="exact"/>
        <w:ind w:firstLine="420" w:firstLineChars="200"/>
        <w:rPr>
          <w:rFonts w:ascii="仿宋" w:hAnsi="仿宋" w:eastAsia="仿宋"/>
          <w:color w:val="000000"/>
          <w:szCs w:val="32"/>
        </w:rPr>
      </w:pPr>
      <w:r>
        <w:rPr>
          <w:rFonts w:hint="eastAsia" w:ascii="仿宋" w:hAnsi="仿宋" w:eastAsia="仿宋"/>
          <w:color w:val="000000"/>
          <w:szCs w:val="32"/>
        </w:rPr>
        <w:t>3.一般隐患：有</w:t>
      </w:r>
      <w:r>
        <w:rPr>
          <w:rFonts w:ascii="仿宋" w:hAnsi="仿宋" w:eastAsia="仿宋"/>
          <w:color w:val="000000"/>
          <w:szCs w:val="32"/>
        </w:rPr>
        <w:t>可能直接或间接导致人员伤害等事件</w:t>
      </w:r>
      <w:r>
        <w:rPr>
          <w:rFonts w:hint="eastAsia" w:ascii="仿宋" w:hAnsi="仿宋" w:eastAsia="仿宋"/>
          <w:color w:val="000000"/>
          <w:szCs w:val="32"/>
        </w:rPr>
        <w:t>，</w:t>
      </w:r>
      <w:r>
        <w:rPr>
          <w:rFonts w:ascii="仿宋" w:hAnsi="仿宋" w:eastAsia="仿宋"/>
          <w:color w:val="000000"/>
          <w:szCs w:val="32"/>
        </w:rPr>
        <w:t>或违反安全制度的现象。</w:t>
      </w:r>
    </w:p>
    <w:p>
      <w:pPr>
        <w:spacing w:line="560" w:lineRule="exact"/>
        <w:ind w:firstLine="420" w:firstLineChars="200"/>
        <w:rPr>
          <w:rFonts w:ascii="仿宋" w:hAnsi="仿宋" w:eastAsia="仿宋"/>
          <w:color w:val="000000"/>
          <w:szCs w:val="32"/>
        </w:rPr>
      </w:pPr>
      <w:r>
        <w:rPr>
          <w:rFonts w:hint="eastAsia" w:ascii="黑体" w:hAnsi="黑体" w:eastAsia="黑体"/>
          <w:bCs/>
          <w:color w:val="000000"/>
          <w:szCs w:val="32"/>
        </w:rPr>
        <w:t>第四条</w:t>
      </w:r>
      <w:r>
        <w:rPr>
          <w:rFonts w:hint="eastAsia" w:ascii="仿宋" w:hAnsi="仿宋" w:eastAsia="仿宋"/>
          <w:bCs/>
          <w:color w:val="000000"/>
          <w:szCs w:val="32"/>
        </w:rPr>
        <w:t xml:space="preserve"> </w:t>
      </w:r>
      <w:r>
        <w:rPr>
          <w:rFonts w:hint="eastAsia" w:ascii="仿宋" w:hAnsi="仿宋" w:eastAsia="仿宋"/>
          <w:color w:val="000000"/>
          <w:szCs w:val="32"/>
        </w:rPr>
        <w:t xml:space="preserve"> 隐患</w:t>
      </w:r>
      <w:r>
        <w:rPr>
          <w:rFonts w:ascii="仿宋" w:hAnsi="仿宋" w:eastAsia="仿宋"/>
          <w:color w:val="000000"/>
          <w:szCs w:val="32"/>
        </w:rPr>
        <w:t>分类</w:t>
      </w:r>
      <w:r>
        <w:rPr>
          <w:rFonts w:hint="eastAsia" w:ascii="仿宋" w:hAnsi="仿宋" w:eastAsia="仿宋"/>
          <w:color w:val="000000"/>
          <w:szCs w:val="32"/>
        </w:rPr>
        <w:t>。根据教育部</w:t>
      </w:r>
      <w:r>
        <w:rPr>
          <w:rFonts w:ascii="仿宋" w:hAnsi="仿宋" w:eastAsia="仿宋"/>
          <w:color w:val="000000"/>
          <w:szCs w:val="32"/>
        </w:rPr>
        <w:t>《</w:t>
      </w:r>
      <w:r>
        <w:rPr>
          <w:rFonts w:hint="eastAsia" w:ascii="仿宋" w:hAnsi="仿宋" w:eastAsia="仿宋"/>
          <w:color w:val="000000"/>
          <w:szCs w:val="32"/>
        </w:rPr>
        <w:t>高等</w:t>
      </w:r>
      <w:r>
        <w:rPr>
          <w:rFonts w:ascii="仿宋" w:hAnsi="仿宋" w:eastAsia="仿宋"/>
          <w:color w:val="000000"/>
          <w:szCs w:val="32"/>
        </w:rPr>
        <w:t>学校实验室</w:t>
      </w:r>
      <w:r>
        <w:rPr>
          <w:rFonts w:hint="eastAsia" w:ascii="仿宋" w:hAnsi="仿宋" w:eastAsia="仿宋"/>
          <w:color w:val="000000"/>
          <w:szCs w:val="32"/>
        </w:rPr>
        <w:t>安全</w:t>
      </w:r>
      <w:r>
        <w:rPr>
          <w:rFonts w:ascii="仿宋" w:hAnsi="仿宋" w:eastAsia="仿宋"/>
          <w:color w:val="000000"/>
          <w:szCs w:val="32"/>
        </w:rPr>
        <w:t>检查项目表》</w:t>
      </w:r>
      <w:r>
        <w:rPr>
          <w:rFonts w:hint="eastAsia" w:ascii="仿宋" w:hAnsi="仿宋" w:eastAsia="仿宋"/>
          <w:color w:val="000000"/>
          <w:szCs w:val="32"/>
        </w:rPr>
        <w:t>中</w:t>
      </w:r>
      <w:r>
        <w:rPr>
          <w:rFonts w:ascii="仿宋" w:hAnsi="仿宋" w:eastAsia="仿宋"/>
          <w:color w:val="000000"/>
          <w:szCs w:val="32"/>
        </w:rPr>
        <w:t>人、</w:t>
      </w:r>
      <w:r>
        <w:rPr>
          <w:rFonts w:hint="eastAsia" w:ascii="仿宋" w:hAnsi="仿宋" w:eastAsia="仿宋"/>
          <w:color w:val="000000"/>
          <w:szCs w:val="32"/>
        </w:rPr>
        <w:t>物</w:t>
      </w:r>
      <w:r>
        <w:rPr>
          <w:rFonts w:ascii="仿宋" w:hAnsi="仿宋" w:eastAsia="仿宋"/>
          <w:color w:val="000000"/>
          <w:szCs w:val="32"/>
        </w:rPr>
        <w:t>、环境、组织的不安全行为，将隐患</w:t>
      </w:r>
      <w:r>
        <w:rPr>
          <w:rFonts w:hint="eastAsia" w:ascii="仿宋" w:hAnsi="仿宋" w:eastAsia="仿宋"/>
          <w:color w:val="000000"/>
          <w:szCs w:val="32"/>
        </w:rPr>
        <w:t>划分</w:t>
      </w:r>
      <w:r>
        <w:rPr>
          <w:rFonts w:ascii="仿宋" w:hAnsi="仿宋" w:eastAsia="仿宋"/>
          <w:color w:val="000000"/>
          <w:szCs w:val="32"/>
        </w:rPr>
        <w:t>为</w:t>
      </w:r>
      <w:r>
        <w:rPr>
          <w:rFonts w:hint="eastAsia" w:ascii="仿宋" w:hAnsi="仿宋" w:eastAsia="仿宋"/>
          <w:color w:val="000000"/>
          <w:szCs w:val="32"/>
        </w:rPr>
        <w:t>违规操作</w:t>
      </w:r>
      <w:r>
        <w:rPr>
          <w:rFonts w:ascii="仿宋" w:hAnsi="仿宋" w:eastAsia="仿宋"/>
          <w:color w:val="000000"/>
          <w:szCs w:val="32"/>
        </w:rPr>
        <w:t>、硬件不到位、管理不到位三</w:t>
      </w:r>
      <w:r>
        <w:rPr>
          <w:rFonts w:hint="eastAsia" w:ascii="仿宋" w:hAnsi="仿宋" w:eastAsia="仿宋"/>
          <w:color w:val="000000"/>
          <w:szCs w:val="32"/>
        </w:rPr>
        <w:t>大</w:t>
      </w:r>
      <w:r>
        <w:rPr>
          <w:rFonts w:ascii="仿宋" w:hAnsi="仿宋" w:eastAsia="仿宋"/>
          <w:color w:val="000000"/>
          <w:szCs w:val="32"/>
        </w:rPr>
        <w:t>类。</w:t>
      </w:r>
    </w:p>
    <w:p>
      <w:pPr>
        <w:autoSpaceDE w:val="0"/>
        <w:autoSpaceDN w:val="0"/>
        <w:adjustRightInd w:val="0"/>
        <w:spacing w:line="560" w:lineRule="exact"/>
        <w:ind w:firstLine="420" w:firstLineChars="200"/>
        <w:rPr>
          <w:rFonts w:ascii="仿宋" w:hAnsi="仿宋" w:eastAsia="仿宋"/>
          <w:color w:val="000000"/>
          <w:szCs w:val="32"/>
        </w:rPr>
      </w:pPr>
      <w:r>
        <w:rPr>
          <w:rFonts w:hint="eastAsia" w:ascii="仿宋" w:hAnsi="仿宋" w:eastAsia="仿宋"/>
          <w:color w:val="000000"/>
          <w:szCs w:val="32"/>
        </w:rPr>
        <w:t>1</w:t>
      </w:r>
      <w:r>
        <w:rPr>
          <w:rFonts w:ascii="仿宋" w:hAnsi="仿宋" w:eastAsia="仿宋"/>
          <w:color w:val="000000"/>
          <w:szCs w:val="32"/>
        </w:rPr>
        <w:t>.违规操作即人的不安全行为，指在实验过程中，</w:t>
      </w:r>
      <w:r>
        <w:rPr>
          <w:rFonts w:hint="eastAsia" w:ascii="仿宋" w:hAnsi="仿宋" w:eastAsia="仿宋"/>
          <w:color w:val="000000"/>
          <w:szCs w:val="32"/>
        </w:rPr>
        <w:t>实验人员违反安全规定、</w:t>
      </w:r>
      <w:r>
        <w:rPr>
          <w:rFonts w:ascii="仿宋" w:hAnsi="仿宋" w:eastAsia="仿宋"/>
          <w:color w:val="000000"/>
          <w:szCs w:val="32"/>
        </w:rPr>
        <w:t>制度及措施的不安全操作行为。</w:t>
      </w:r>
    </w:p>
    <w:p>
      <w:pPr>
        <w:autoSpaceDE w:val="0"/>
        <w:autoSpaceDN w:val="0"/>
        <w:adjustRightInd w:val="0"/>
        <w:spacing w:line="560" w:lineRule="exact"/>
        <w:ind w:firstLine="420" w:firstLineChars="200"/>
        <w:rPr>
          <w:rFonts w:ascii="仿宋" w:hAnsi="仿宋" w:eastAsia="仿宋"/>
          <w:color w:val="000000"/>
          <w:szCs w:val="32"/>
        </w:rPr>
      </w:pPr>
      <w:r>
        <w:rPr>
          <w:rFonts w:hint="eastAsia" w:ascii="仿宋" w:hAnsi="仿宋" w:eastAsia="仿宋"/>
          <w:color w:val="000000"/>
          <w:szCs w:val="32"/>
        </w:rPr>
        <w:t>2</w:t>
      </w:r>
      <w:r>
        <w:rPr>
          <w:rFonts w:ascii="仿宋" w:hAnsi="仿宋" w:eastAsia="仿宋"/>
          <w:color w:val="000000"/>
          <w:szCs w:val="32"/>
        </w:rPr>
        <w:t>.</w:t>
      </w:r>
      <w:r>
        <w:rPr>
          <w:rFonts w:hint="eastAsia" w:ascii="仿宋" w:hAnsi="仿宋" w:eastAsia="仿宋"/>
          <w:color w:val="000000"/>
          <w:szCs w:val="32"/>
        </w:rPr>
        <w:t>硬件不到位即物的不安全行为，指实验室现场的设施设备、试剂耗材、环境、安全器具</w:t>
      </w:r>
      <w:r>
        <w:rPr>
          <w:rFonts w:ascii="仿宋" w:hAnsi="仿宋" w:eastAsia="仿宋"/>
          <w:color w:val="000000"/>
          <w:szCs w:val="32"/>
        </w:rPr>
        <w:t>及</w:t>
      </w:r>
      <w:r>
        <w:rPr>
          <w:rFonts w:hint="eastAsia" w:ascii="仿宋" w:hAnsi="仿宋" w:eastAsia="仿宋"/>
          <w:color w:val="000000"/>
          <w:szCs w:val="32"/>
        </w:rPr>
        <w:t>防护用品等不符合要求，</w:t>
      </w:r>
      <w:r>
        <w:rPr>
          <w:rFonts w:ascii="仿宋" w:hAnsi="仿宋" w:eastAsia="仿宋"/>
          <w:color w:val="000000"/>
          <w:szCs w:val="32"/>
        </w:rPr>
        <w:t>不能保证人身和设备</w:t>
      </w:r>
      <w:r>
        <w:rPr>
          <w:rFonts w:hint="eastAsia" w:ascii="仿宋" w:hAnsi="仿宋" w:eastAsia="仿宋"/>
          <w:color w:val="000000"/>
          <w:szCs w:val="32"/>
        </w:rPr>
        <w:t>安全的不安全状态。</w:t>
      </w:r>
    </w:p>
    <w:p>
      <w:pPr>
        <w:autoSpaceDE w:val="0"/>
        <w:autoSpaceDN w:val="0"/>
        <w:adjustRightInd w:val="0"/>
        <w:spacing w:line="560" w:lineRule="exact"/>
        <w:ind w:firstLine="420" w:firstLineChars="200"/>
        <w:rPr>
          <w:rFonts w:ascii="仿宋" w:hAnsi="仿宋" w:eastAsia="仿宋"/>
          <w:color w:val="000000"/>
          <w:szCs w:val="32"/>
        </w:rPr>
      </w:pPr>
      <w:r>
        <w:rPr>
          <w:rFonts w:hint="eastAsia" w:ascii="仿宋" w:hAnsi="仿宋" w:eastAsia="仿宋"/>
          <w:color w:val="000000"/>
          <w:szCs w:val="32"/>
        </w:rPr>
        <w:t>3</w:t>
      </w:r>
      <w:r>
        <w:rPr>
          <w:rFonts w:ascii="仿宋" w:hAnsi="仿宋" w:eastAsia="仿宋"/>
          <w:color w:val="000000"/>
          <w:szCs w:val="32"/>
        </w:rPr>
        <w:t>.</w:t>
      </w:r>
      <w:r>
        <w:rPr>
          <w:rFonts w:hint="eastAsia" w:ascii="仿宋" w:hAnsi="仿宋" w:eastAsia="仿宋"/>
          <w:color w:val="000000"/>
          <w:szCs w:val="32"/>
        </w:rPr>
        <w:t>管理不到位即组织的不安全行为，指从事实验室安全管理工作的各级行政</w:t>
      </w:r>
      <w:r>
        <w:rPr>
          <w:rFonts w:ascii="仿宋" w:hAnsi="仿宋" w:eastAsia="仿宋"/>
          <w:color w:val="000000"/>
          <w:szCs w:val="32"/>
        </w:rPr>
        <w:t>、实验室管理人员</w:t>
      </w:r>
      <w:r>
        <w:rPr>
          <w:rFonts w:hint="eastAsia" w:ascii="仿宋" w:hAnsi="仿宋" w:eastAsia="仿宋"/>
          <w:color w:val="000000"/>
          <w:szCs w:val="32"/>
        </w:rPr>
        <w:t>，不按规定要求落实相关规章</w:t>
      </w:r>
      <w:r>
        <w:rPr>
          <w:rFonts w:ascii="仿宋" w:hAnsi="仿宋" w:eastAsia="仿宋"/>
          <w:color w:val="000000"/>
          <w:szCs w:val="32"/>
        </w:rPr>
        <w:t>制度</w:t>
      </w:r>
      <w:r>
        <w:rPr>
          <w:rFonts w:hint="eastAsia" w:ascii="仿宋" w:hAnsi="仿宋" w:eastAsia="仿宋"/>
          <w:color w:val="000000"/>
          <w:szCs w:val="32"/>
        </w:rPr>
        <w:t>及</w:t>
      </w:r>
      <w:r>
        <w:rPr>
          <w:rFonts w:ascii="仿宋" w:hAnsi="仿宋" w:eastAsia="仿宋"/>
          <w:color w:val="000000"/>
          <w:szCs w:val="32"/>
        </w:rPr>
        <w:t>不组织实施的行为。</w:t>
      </w:r>
    </w:p>
    <w:p>
      <w:pPr>
        <w:spacing w:line="560" w:lineRule="exact"/>
        <w:ind w:firstLine="420" w:firstLineChars="200"/>
        <w:rPr>
          <w:rFonts w:ascii="仿宋" w:hAnsi="仿宋" w:eastAsia="仿宋"/>
          <w:color w:val="000000"/>
          <w:szCs w:val="32"/>
        </w:rPr>
      </w:pPr>
      <w:r>
        <w:rPr>
          <w:rFonts w:hint="eastAsia" w:ascii="黑体" w:hAnsi="黑体" w:eastAsia="黑体"/>
          <w:bCs/>
          <w:color w:val="000000"/>
          <w:szCs w:val="32"/>
        </w:rPr>
        <w:t>第五条</w:t>
      </w:r>
      <w:r>
        <w:rPr>
          <w:rFonts w:hint="eastAsia" w:ascii="仿宋" w:hAnsi="仿宋" w:eastAsia="仿宋"/>
          <w:b/>
          <w:color w:val="000000"/>
          <w:szCs w:val="32"/>
        </w:rPr>
        <w:t xml:space="preserve">  </w:t>
      </w:r>
      <w:r>
        <w:rPr>
          <w:rFonts w:hint="eastAsia" w:ascii="仿宋" w:hAnsi="仿宋" w:eastAsia="仿宋"/>
          <w:color w:val="000000"/>
          <w:szCs w:val="32"/>
        </w:rPr>
        <w:t>计分对象。</w:t>
      </w:r>
      <w:r>
        <w:rPr>
          <w:rFonts w:ascii="仿宋" w:hAnsi="仿宋" w:eastAsia="仿宋"/>
          <w:color w:val="000000"/>
          <w:szCs w:val="32"/>
        </w:rPr>
        <w:t>实验</w:t>
      </w:r>
      <w:r>
        <w:rPr>
          <w:rFonts w:hint="eastAsia" w:ascii="仿宋" w:hAnsi="仿宋" w:eastAsia="仿宋"/>
          <w:color w:val="000000"/>
          <w:szCs w:val="32"/>
        </w:rPr>
        <w:t>室内工作人员</w:t>
      </w:r>
      <w:r>
        <w:rPr>
          <w:rFonts w:ascii="仿宋" w:hAnsi="仿宋" w:eastAsia="仿宋"/>
          <w:color w:val="000000"/>
          <w:szCs w:val="32"/>
        </w:rPr>
        <w:t>、实验室安全责任</w:t>
      </w:r>
      <w:r>
        <w:rPr>
          <w:rFonts w:hint="eastAsia" w:ascii="仿宋" w:hAnsi="仿宋" w:eastAsia="仿宋"/>
          <w:color w:val="000000"/>
          <w:szCs w:val="32"/>
        </w:rPr>
        <w:t>人(即每个实验室房间</w:t>
      </w:r>
      <w:r>
        <w:rPr>
          <w:rFonts w:ascii="仿宋" w:hAnsi="仿宋" w:eastAsia="仿宋"/>
          <w:color w:val="000000"/>
          <w:szCs w:val="32"/>
        </w:rPr>
        <w:t>与二级单位签订责任书</w:t>
      </w:r>
      <w:r>
        <w:rPr>
          <w:rFonts w:hint="eastAsia" w:ascii="仿宋" w:hAnsi="仿宋" w:eastAsia="仿宋"/>
          <w:color w:val="000000"/>
          <w:szCs w:val="32"/>
        </w:rPr>
        <w:t>的</w:t>
      </w:r>
      <w:r>
        <w:rPr>
          <w:rFonts w:ascii="仿宋" w:hAnsi="仿宋" w:eastAsia="仿宋"/>
          <w:color w:val="000000"/>
          <w:szCs w:val="32"/>
        </w:rPr>
        <w:t>人</w:t>
      </w:r>
      <w:r>
        <w:rPr>
          <w:rFonts w:hint="eastAsia" w:ascii="仿宋" w:hAnsi="仿宋" w:eastAsia="仿宋"/>
          <w:color w:val="000000"/>
          <w:szCs w:val="32"/>
        </w:rPr>
        <w:t>)、二级单位</w:t>
      </w:r>
      <w:r>
        <w:rPr>
          <w:rFonts w:ascii="仿宋" w:hAnsi="仿宋" w:eastAsia="仿宋"/>
          <w:color w:val="000000"/>
          <w:szCs w:val="32"/>
        </w:rPr>
        <w:t>安全责任人等责任主体。</w:t>
      </w:r>
    </w:p>
    <w:p>
      <w:pPr>
        <w:widowControl/>
        <w:adjustRightInd w:val="0"/>
        <w:snapToGrid w:val="0"/>
        <w:spacing w:before="217" w:beforeLines="50" w:after="217" w:afterLines="50" w:line="560" w:lineRule="exact"/>
        <w:jc w:val="center"/>
        <w:rPr>
          <w:rFonts w:ascii="黑体" w:hAnsi="黑体" w:eastAsia="黑体"/>
          <w:b w:val="0"/>
          <w:bCs/>
          <w:color w:val="000000"/>
          <w:szCs w:val="32"/>
        </w:rPr>
      </w:pPr>
      <w:r>
        <w:rPr>
          <w:rFonts w:hint="eastAsia" w:ascii="黑体" w:hAnsi="黑体" w:eastAsia="黑体" w:cs="Times New Roman"/>
          <w:bCs/>
          <w:color w:val="000000"/>
          <w:kern w:val="2"/>
          <w:szCs w:val="32"/>
        </w:rPr>
        <w:t>第二章  管理</w:t>
      </w:r>
      <w:r>
        <w:rPr>
          <w:rFonts w:ascii="黑体" w:hAnsi="黑体" w:eastAsia="黑体" w:cs="Times New Roman"/>
          <w:bCs/>
          <w:color w:val="000000"/>
          <w:kern w:val="2"/>
          <w:szCs w:val="32"/>
        </w:rPr>
        <w:t>职责</w:t>
      </w:r>
    </w:p>
    <w:p>
      <w:pPr>
        <w:spacing w:line="560" w:lineRule="exact"/>
        <w:ind w:firstLine="420" w:firstLineChars="200"/>
        <w:rPr>
          <w:rFonts w:ascii="仿宋" w:hAnsi="仿宋" w:eastAsia="仿宋"/>
          <w:color w:val="000000"/>
          <w:szCs w:val="32"/>
        </w:rPr>
      </w:pPr>
      <w:r>
        <w:rPr>
          <w:rFonts w:hint="eastAsia" w:ascii="黑体" w:hAnsi="黑体" w:eastAsia="黑体"/>
          <w:bCs/>
          <w:color w:val="000000"/>
          <w:szCs w:val="32"/>
        </w:rPr>
        <w:t>第六条</w:t>
      </w:r>
      <w:r>
        <w:rPr>
          <w:rFonts w:hint="eastAsia" w:ascii="仿宋" w:hAnsi="仿宋" w:eastAsia="仿宋"/>
          <w:color w:val="000000"/>
          <w:szCs w:val="32"/>
        </w:rPr>
        <w:t xml:space="preserve">  实验室</w:t>
      </w:r>
      <w:r>
        <w:rPr>
          <w:rFonts w:ascii="仿宋" w:hAnsi="仿宋" w:eastAsia="仿宋"/>
          <w:color w:val="000000"/>
          <w:szCs w:val="32"/>
        </w:rPr>
        <w:t>与设备管理处</w:t>
      </w:r>
      <w:r>
        <w:rPr>
          <w:rFonts w:hint="eastAsia" w:ascii="仿宋" w:hAnsi="仿宋" w:eastAsia="仿宋"/>
          <w:color w:val="000000"/>
          <w:szCs w:val="32"/>
        </w:rPr>
        <w:t>负责建立量化管理计分</w:t>
      </w:r>
      <w:r>
        <w:rPr>
          <w:rFonts w:ascii="仿宋" w:hAnsi="仿宋" w:eastAsia="仿宋"/>
          <w:color w:val="000000"/>
          <w:szCs w:val="32"/>
        </w:rPr>
        <w:t>制度并组织实施</w:t>
      </w:r>
      <w:r>
        <w:rPr>
          <w:rFonts w:hint="eastAsia" w:ascii="仿宋" w:hAnsi="仿宋" w:eastAsia="仿宋"/>
          <w:color w:val="000000"/>
          <w:szCs w:val="32"/>
        </w:rPr>
        <w:t>；</w:t>
      </w:r>
      <w:r>
        <w:rPr>
          <w:rFonts w:ascii="仿宋" w:hAnsi="仿宋" w:eastAsia="仿宋"/>
          <w:color w:val="000000"/>
          <w:szCs w:val="32"/>
        </w:rPr>
        <w:t>定期开展实验室安全检查，下发整改通知单，督促二级单位完成隐患整改工作。</w:t>
      </w:r>
    </w:p>
    <w:p>
      <w:pPr>
        <w:spacing w:line="560" w:lineRule="exact"/>
        <w:ind w:firstLine="420" w:firstLineChars="200"/>
        <w:rPr>
          <w:rFonts w:ascii="仿宋" w:hAnsi="仿宋" w:eastAsia="仿宋"/>
          <w:b/>
          <w:color w:val="000000"/>
          <w:szCs w:val="32"/>
        </w:rPr>
      </w:pPr>
      <w:r>
        <w:rPr>
          <w:rFonts w:hint="eastAsia" w:ascii="黑体" w:hAnsi="黑体" w:eastAsia="黑体"/>
          <w:bCs/>
          <w:color w:val="000000"/>
          <w:szCs w:val="32"/>
        </w:rPr>
        <w:t>第七条</w:t>
      </w:r>
      <w:r>
        <w:rPr>
          <w:rFonts w:hint="eastAsia" w:ascii="仿宋" w:hAnsi="仿宋" w:eastAsia="仿宋"/>
          <w:b/>
          <w:color w:val="000000"/>
          <w:szCs w:val="32"/>
        </w:rPr>
        <w:t xml:space="preserve">  </w:t>
      </w:r>
      <w:r>
        <w:rPr>
          <w:rFonts w:hint="eastAsia" w:ascii="仿宋" w:hAnsi="仿宋" w:eastAsia="仿宋"/>
          <w:color w:val="000000"/>
          <w:szCs w:val="32"/>
        </w:rPr>
        <w:t>二级</w:t>
      </w:r>
      <w:r>
        <w:rPr>
          <w:rFonts w:ascii="仿宋" w:hAnsi="仿宋" w:eastAsia="仿宋"/>
          <w:color w:val="000000"/>
          <w:szCs w:val="32"/>
        </w:rPr>
        <w:t>单位落实</w:t>
      </w:r>
      <w:r>
        <w:rPr>
          <w:rFonts w:hint="eastAsia" w:ascii="仿宋" w:hAnsi="仿宋" w:eastAsia="仿宋"/>
          <w:color w:val="000000"/>
          <w:szCs w:val="32"/>
        </w:rPr>
        <w:t>量化管理计分</w:t>
      </w:r>
      <w:r>
        <w:rPr>
          <w:rFonts w:ascii="仿宋" w:hAnsi="仿宋" w:eastAsia="仿宋"/>
          <w:color w:val="000000"/>
          <w:szCs w:val="32"/>
        </w:rPr>
        <w:t>制度。通过安全巡查、检查，</w:t>
      </w:r>
      <w:r>
        <w:rPr>
          <w:rFonts w:hint="eastAsia" w:ascii="仿宋" w:hAnsi="仿宋" w:eastAsia="仿宋"/>
          <w:color w:val="000000"/>
          <w:szCs w:val="32"/>
        </w:rPr>
        <w:t>做好本单位</w:t>
      </w:r>
      <w:r>
        <w:rPr>
          <w:rFonts w:ascii="仿宋" w:hAnsi="仿宋" w:eastAsia="仿宋"/>
          <w:color w:val="000000"/>
          <w:szCs w:val="32"/>
        </w:rPr>
        <w:t>实验室安全管理的</w:t>
      </w:r>
      <w:r>
        <w:rPr>
          <w:rFonts w:hint="eastAsia" w:ascii="仿宋" w:hAnsi="仿宋" w:eastAsia="仿宋"/>
          <w:color w:val="000000"/>
          <w:szCs w:val="32"/>
        </w:rPr>
        <w:t>量化</w:t>
      </w:r>
      <w:r>
        <w:rPr>
          <w:rFonts w:ascii="仿宋" w:hAnsi="仿宋" w:eastAsia="仿宋"/>
          <w:color w:val="000000"/>
          <w:szCs w:val="32"/>
        </w:rPr>
        <w:t>计分工作</w:t>
      </w:r>
      <w:r>
        <w:rPr>
          <w:rFonts w:hint="eastAsia" w:ascii="仿宋" w:hAnsi="仿宋" w:eastAsia="仿宋"/>
          <w:color w:val="000000"/>
          <w:szCs w:val="32"/>
        </w:rPr>
        <w:t>。</w:t>
      </w:r>
      <w:r>
        <w:rPr>
          <w:rFonts w:ascii="仿宋" w:hAnsi="仿宋" w:eastAsia="仿宋"/>
          <w:color w:val="000000"/>
          <w:szCs w:val="32"/>
        </w:rPr>
        <w:t>按照学校及本单位下发的整改通知</w:t>
      </w:r>
      <w:r>
        <w:rPr>
          <w:rFonts w:hint="eastAsia" w:ascii="仿宋" w:hAnsi="仿宋" w:eastAsia="仿宋"/>
          <w:color w:val="000000"/>
          <w:szCs w:val="32"/>
        </w:rPr>
        <w:t>单，</w:t>
      </w:r>
      <w:r>
        <w:rPr>
          <w:rFonts w:ascii="仿宋" w:hAnsi="仿宋" w:eastAsia="仿宋"/>
          <w:color w:val="000000"/>
          <w:szCs w:val="32"/>
        </w:rPr>
        <w:t>对违规操作人员的整改教育、诫勉批评、</w:t>
      </w:r>
      <w:r>
        <w:rPr>
          <w:rFonts w:hint="eastAsia" w:ascii="仿宋" w:hAnsi="仿宋" w:eastAsia="仿宋"/>
          <w:color w:val="000000"/>
          <w:szCs w:val="32"/>
        </w:rPr>
        <w:t>培训</w:t>
      </w:r>
      <w:r>
        <w:rPr>
          <w:rFonts w:ascii="仿宋" w:hAnsi="仿宋" w:eastAsia="仿宋"/>
          <w:color w:val="000000"/>
          <w:szCs w:val="32"/>
        </w:rPr>
        <w:t>学习等情况，及时、全面地进行认真总结，归纳整理突出问题，研究制</w:t>
      </w:r>
      <w:r>
        <w:rPr>
          <w:rFonts w:hint="eastAsia" w:ascii="仿宋" w:hAnsi="仿宋" w:eastAsia="仿宋"/>
          <w:color w:val="000000"/>
          <w:szCs w:val="32"/>
        </w:rPr>
        <w:t>订并</w:t>
      </w:r>
      <w:r>
        <w:rPr>
          <w:rFonts w:ascii="仿宋" w:hAnsi="仿宋" w:eastAsia="仿宋"/>
          <w:color w:val="000000"/>
          <w:szCs w:val="32"/>
        </w:rPr>
        <w:t>组织落实预防</w:t>
      </w:r>
      <w:r>
        <w:rPr>
          <w:rFonts w:hint="eastAsia" w:ascii="仿宋" w:hAnsi="仿宋" w:eastAsia="仿宋"/>
          <w:color w:val="000000"/>
          <w:szCs w:val="32"/>
        </w:rPr>
        <w:t>、</w:t>
      </w:r>
      <w:r>
        <w:rPr>
          <w:rFonts w:ascii="仿宋" w:hAnsi="仿宋" w:eastAsia="仿宋"/>
          <w:color w:val="000000"/>
          <w:szCs w:val="32"/>
        </w:rPr>
        <w:t>整改措施；按</w:t>
      </w:r>
      <w:r>
        <w:rPr>
          <w:rFonts w:hint="eastAsia" w:ascii="仿宋" w:hAnsi="仿宋" w:eastAsia="仿宋"/>
          <w:color w:val="000000"/>
          <w:szCs w:val="32"/>
        </w:rPr>
        <w:t>时</w:t>
      </w:r>
      <w:r>
        <w:rPr>
          <w:rFonts w:ascii="仿宋" w:hAnsi="仿宋" w:eastAsia="仿宋"/>
          <w:color w:val="000000"/>
          <w:szCs w:val="32"/>
        </w:rPr>
        <w:t>上报整改情况；</w:t>
      </w:r>
      <w:r>
        <w:rPr>
          <w:rFonts w:hint="eastAsia" w:ascii="仿宋" w:hAnsi="仿宋" w:eastAsia="仿宋"/>
          <w:color w:val="000000"/>
          <w:szCs w:val="32"/>
        </w:rPr>
        <w:t>组织针</w:t>
      </w:r>
      <w:r>
        <w:rPr>
          <w:rFonts w:ascii="仿宋" w:hAnsi="仿宋" w:eastAsia="仿宋"/>
          <w:color w:val="000000"/>
          <w:szCs w:val="32"/>
        </w:rPr>
        <w:t>对违规人员的安全知识考核</w:t>
      </w:r>
      <w:r>
        <w:rPr>
          <w:rFonts w:hint="eastAsia" w:ascii="仿宋" w:hAnsi="仿宋" w:eastAsia="仿宋"/>
          <w:color w:val="000000"/>
          <w:szCs w:val="32"/>
        </w:rPr>
        <w:t>；</w:t>
      </w:r>
      <w:r>
        <w:rPr>
          <w:rFonts w:ascii="仿宋" w:hAnsi="仿宋" w:eastAsia="仿宋"/>
          <w:color w:val="000000"/>
          <w:szCs w:val="32"/>
        </w:rPr>
        <w:t>做好</w:t>
      </w:r>
      <w:r>
        <w:rPr>
          <w:rFonts w:hint="eastAsia" w:ascii="仿宋" w:hAnsi="仿宋" w:eastAsia="仿宋"/>
          <w:color w:val="000000"/>
          <w:szCs w:val="32"/>
        </w:rPr>
        <w:t>实验室</w:t>
      </w:r>
      <w:r>
        <w:rPr>
          <w:rFonts w:ascii="仿宋" w:hAnsi="仿宋" w:eastAsia="仿宋"/>
          <w:color w:val="000000"/>
          <w:szCs w:val="32"/>
        </w:rPr>
        <w:t>安全计分制与评优</w:t>
      </w:r>
      <w:r>
        <w:rPr>
          <w:rFonts w:hint="eastAsia" w:ascii="仿宋" w:hAnsi="仿宋" w:eastAsia="仿宋"/>
          <w:color w:val="000000"/>
          <w:szCs w:val="32"/>
        </w:rPr>
        <w:t>评先</w:t>
      </w:r>
      <w:r>
        <w:rPr>
          <w:rFonts w:ascii="仿宋" w:hAnsi="仿宋" w:eastAsia="仿宋"/>
          <w:color w:val="000000"/>
          <w:szCs w:val="32"/>
        </w:rPr>
        <w:t>、</w:t>
      </w:r>
      <w:r>
        <w:rPr>
          <w:rFonts w:hint="eastAsia" w:ascii="仿宋" w:hAnsi="仿宋" w:eastAsia="仿宋"/>
          <w:color w:val="000000"/>
          <w:szCs w:val="32"/>
        </w:rPr>
        <w:t>年度</w:t>
      </w:r>
      <w:r>
        <w:rPr>
          <w:rFonts w:ascii="仿宋" w:hAnsi="仿宋" w:eastAsia="仿宋"/>
          <w:color w:val="000000"/>
          <w:szCs w:val="32"/>
        </w:rPr>
        <w:t>考核、职称晋级等工作的</w:t>
      </w:r>
      <w:r>
        <w:rPr>
          <w:rFonts w:hint="eastAsia" w:ascii="仿宋" w:hAnsi="仿宋" w:eastAsia="仿宋"/>
          <w:color w:val="000000"/>
          <w:szCs w:val="32"/>
        </w:rPr>
        <w:t>关联</w:t>
      </w:r>
      <w:r>
        <w:rPr>
          <w:rFonts w:ascii="仿宋" w:hAnsi="仿宋" w:eastAsia="仿宋"/>
          <w:color w:val="000000"/>
          <w:szCs w:val="32"/>
        </w:rPr>
        <w:t>审核</w:t>
      </w:r>
      <w:r>
        <w:rPr>
          <w:rFonts w:hint="eastAsia" w:ascii="仿宋" w:hAnsi="仿宋" w:eastAsia="仿宋"/>
          <w:color w:val="000000"/>
          <w:szCs w:val="32"/>
        </w:rPr>
        <w:t>。</w:t>
      </w:r>
    </w:p>
    <w:p>
      <w:pPr>
        <w:spacing w:line="560" w:lineRule="exact"/>
        <w:ind w:firstLine="420" w:firstLineChars="200"/>
        <w:rPr>
          <w:rFonts w:ascii="仿宋" w:hAnsi="仿宋" w:eastAsia="仿宋"/>
          <w:b/>
          <w:color w:val="000000"/>
          <w:szCs w:val="32"/>
        </w:rPr>
      </w:pPr>
      <w:r>
        <w:rPr>
          <w:rFonts w:hint="eastAsia" w:ascii="黑体" w:hAnsi="黑体" w:eastAsia="黑体"/>
          <w:bCs/>
          <w:color w:val="000000"/>
          <w:szCs w:val="32"/>
        </w:rPr>
        <w:t>第八条</w:t>
      </w:r>
      <w:r>
        <w:rPr>
          <w:rFonts w:hint="eastAsia" w:ascii="仿宋" w:hAnsi="仿宋" w:eastAsia="仿宋"/>
          <w:b/>
          <w:color w:val="000000"/>
          <w:szCs w:val="32"/>
        </w:rPr>
        <w:t xml:space="preserve">  </w:t>
      </w:r>
      <w:r>
        <w:rPr>
          <w:rFonts w:hint="eastAsia" w:ascii="仿宋" w:hAnsi="仿宋" w:eastAsia="仿宋"/>
          <w:color w:val="000000"/>
          <w:szCs w:val="32"/>
        </w:rPr>
        <w:t>实验</w:t>
      </w:r>
      <w:r>
        <w:rPr>
          <w:rFonts w:ascii="仿宋" w:hAnsi="仿宋" w:eastAsia="仿宋"/>
          <w:color w:val="000000"/>
          <w:szCs w:val="32"/>
        </w:rPr>
        <w:t>室安全责任人</w:t>
      </w:r>
      <w:r>
        <w:rPr>
          <w:rFonts w:hint="eastAsia" w:ascii="仿宋" w:hAnsi="仿宋" w:eastAsia="仿宋"/>
          <w:color w:val="000000"/>
          <w:szCs w:val="32"/>
        </w:rPr>
        <w:t>做好</w:t>
      </w:r>
      <w:r>
        <w:rPr>
          <w:rFonts w:ascii="仿宋" w:hAnsi="仿宋" w:eastAsia="仿宋"/>
          <w:color w:val="000000"/>
          <w:szCs w:val="32"/>
        </w:rPr>
        <w:t>本实验室的安全管理工作，定期</w:t>
      </w:r>
      <w:r>
        <w:rPr>
          <w:rFonts w:hint="eastAsia" w:ascii="仿宋" w:hAnsi="仿宋" w:eastAsia="仿宋"/>
          <w:color w:val="000000"/>
          <w:szCs w:val="32"/>
        </w:rPr>
        <w:t>对进入</w:t>
      </w:r>
      <w:r>
        <w:rPr>
          <w:rFonts w:ascii="仿宋" w:hAnsi="仿宋" w:eastAsia="仿宋"/>
          <w:color w:val="000000"/>
          <w:szCs w:val="32"/>
        </w:rPr>
        <w:t>本实验室的人员进行安全知识及安全技能培训</w:t>
      </w:r>
      <w:r>
        <w:rPr>
          <w:rFonts w:hint="eastAsia" w:ascii="仿宋" w:hAnsi="仿宋" w:eastAsia="仿宋"/>
          <w:color w:val="000000"/>
          <w:szCs w:val="32"/>
        </w:rPr>
        <w:t>；</w:t>
      </w:r>
      <w:r>
        <w:rPr>
          <w:rFonts w:ascii="仿宋" w:hAnsi="仿宋" w:eastAsia="仿宋"/>
          <w:color w:val="000000"/>
          <w:szCs w:val="32"/>
        </w:rPr>
        <w:t>全方位落实检查制度</w:t>
      </w:r>
      <w:r>
        <w:rPr>
          <w:rFonts w:hint="eastAsia" w:ascii="仿宋" w:hAnsi="仿宋" w:eastAsia="仿宋"/>
          <w:color w:val="000000"/>
          <w:szCs w:val="32"/>
        </w:rPr>
        <w:t>及</w:t>
      </w:r>
      <w:r>
        <w:rPr>
          <w:rFonts w:ascii="仿宋" w:hAnsi="仿宋" w:eastAsia="仿宋"/>
          <w:color w:val="000000"/>
          <w:szCs w:val="32"/>
        </w:rPr>
        <w:t>值日</w:t>
      </w:r>
      <w:r>
        <w:rPr>
          <w:rFonts w:hint="eastAsia" w:ascii="仿宋" w:hAnsi="仿宋" w:eastAsia="仿宋"/>
          <w:color w:val="000000"/>
          <w:szCs w:val="32"/>
        </w:rPr>
        <w:t>制度</w:t>
      </w:r>
      <w:r>
        <w:rPr>
          <w:rFonts w:ascii="仿宋" w:hAnsi="仿宋" w:eastAsia="仿宋"/>
          <w:color w:val="000000"/>
          <w:szCs w:val="32"/>
        </w:rPr>
        <w:t>，</w:t>
      </w:r>
      <w:r>
        <w:rPr>
          <w:rFonts w:hint="eastAsia" w:ascii="仿宋" w:hAnsi="仿宋" w:eastAsia="仿宋"/>
          <w:color w:val="000000"/>
          <w:szCs w:val="32"/>
        </w:rPr>
        <w:t>及时发现</w:t>
      </w:r>
      <w:r>
        <w:rPr>
          <w:rFonts w:ascii="仿宋" w:hAnsi="仿宋" w:eastAsia="仿宋"/>
          <w:color w:val="000000"/>
          <w:szCs w:val="32"/>
        </w:rPr>
        <w:t>安全隐患</w:t>
      </w:r>
      <w:r>
        <w:rPr>
          <w:rFonts w:hint="eastAsia" w:ascii="仿宋" w:hAnsi="仿宋" w:eastAsia="仿宋"/>
          <w:color w:val="000000"/>
          <w:szCs w:val="32"/>
        </w:rPr>
        <w:t>，做好校、院检查发现的本实验室存在的安全隐患整改工作。</w:t>
      </w:r>
    </w:p>
    <w:p>
      <w:pPr>
        <w:spacing w:line="560" w:lineRule="exact"/>
        <w:ind w:firstLine="420" w:firstLineChars="200"/>
        <w:rPr>
          <w:rFonts w:ascii="仿宋" w:hAnsi="仿宋" w:eastAsia="仿宋"/>
          <w:b/>
          <w:color w:val="000000"/>
          <w:szCs w:val="32"/>
        </w:rPr>
      </w:pPr>
      <w:r>
        <w:rPr>
          <w:rFonts w:hint="eastAsia" w:ascii="黑体" w:hAnsi="黑体" w:eastAsia="黑体"/>
          <w:bCs/>
          <w:color w:val="000000"/>
          <w:szCs w:val="32"/>
        </w:rPr>
        <w:t>第九条</w:t>
      </w:r>
      <w:r>
        <w:rPr>
          <w:rFonts w:hint="eastAsia" w:ascii="仿宋" w:hAnsi="仿宋" w:eastAsia="仿宋"/>
          <w:b/>
          <w:color w:val="000000"/>
          <w:szCs w:val="32"/>
        </w:rPr>
        <w:t xml:space="preserve">  </w:t>
      </w:r>
      <w:r>
        <w:rPr>
          <w:rFonts w:hint="eastAsia" w:ascii="仿宋" w:hAnsi="仿宋" w:eastAsia="仿宋"/>
          <w:color w:val="000000"/>
          <w:szCs w:val="32"/>
        </w:rPr>
        <w:t>实验工作人员了解</w:t>
      </w:r>
      <w:r>
        <w:rPr>
          <w:rFonts w:ascii="仿宋" w:hAnsi="仿宋" w:eastAsia="仿宋"/>
          <w:color w:val="000000"/>
          <w:szCs w:val="32"/>
        </w:rPr>
        <w:t>执行各项</w:t>
      </w:r>
      <w:r>
        <w:rPr>
          <w:rFonts w:hint="eastAsia" w:ascii="仿宋" w:hAnsi="仿宋" w:eastAsia="仿宋"/>
          <w:color w:val="000000"/>
          <w:szCs w:val="32"/>
        </w:rPr>
        <w:t>安全</w:t>
      </w:r>
      <w:r>
        <w:rPr>
          <w:rFonts w:ascii="仿宋" w:hAnsi="仿宋" w:eastAsia="仿宋"/>
          <w:color w:val="000000"/>
          <w:szCs w:val="32"/>
        </w:rPr>
        <w:t>管理制度，</w:t>
      </w:r>
      <w:r>
        <w:rPr>
          <w:rFonts w:hint="eastAsia" w:ascii="仿宋" w:hAnsi="仿宋" w:eastAsia="仿宋"/>
          <w:color w:val="000000"/>
          <w:szCs w:val="32"/>
        </w:rPr>
        <w:t>规范</w:t>
      </w:r>
      <w:r>
        <w:rPr>
          <w:rFonts w:ascii="仿宋" w:hAnsi="仿宋" w:eastAsia="仿宋"/>
          <w:color w:val="000000"/>
          <w:szCs w:val="32"/>
        </w:rPr>
        <w:t>操作，</w:t>
      </w:r>
      <w:r>
        <w:rPr>
          <w:rFonts w:hint="eastAsia" w:ascii="仿宋" w:hAnsi="仿宋" w:eastAsia="仿宋"/>
          <w:color w:val="000000"/>
          <w:szCs w:val="32"/>
        </w:rPr>
        <w:t>配合</w:t>
      </w:r>
      <w:r>
        <w:rPr>
          <w:rFonts w:ascii="仿宋" w:hAnsi="仿宋" w:eastAsia="仿宋"/>
          <w:color w:val="000000"/>
          <w:szCs w:val="32"/>
        </w:rPr>
        <w:t>各级管理人员落实</w:t>
      </w:r>
      <w:r>
        <w:rPr>
          <w:rFonts w:hint="eastAsia" w:ascii="仿宋" w:hAnsi="仿宋" w:eastAsia="仿宋"/>
          <w:color w:val="000000"/>
          <w:szCs w:val="32"/>
        </w:rPr>
        <w:t>隐患</w:t>
      </w:r>
      <w:r>
        <w:rPr>
          <w:rFonts w:ascii="仿宋" w:hAnsi="仿宋" w:eastAsia="仿宋"/>
          <w:color w:val="000000"/>
          <w:szCs w:val="32"/>
        </w:rPr>
        <w:t>整改。</w:t>
      </w:r>
    </w:p>
    <w:p>
      <w:pPr>
        <w:adjustRightInd w:val="0"/>
        <w:snapToGrid w:val="0"/>
        <w:spacing w:before="217" w:beforeLines="50" w:after="217" w:afterLines="50" w:line="560" w:lineRule="exact"/>
        <w:jc w:val="center"/>
        <w:rPr>
          <w:rFonts w:ascii="黑体" w:hAnsi="黑体" w:eastAsia="黑体"/>
          <w:b w:val="0"/>
          <w:bCs/>
          <w:color w:val="000000"/>
          <w:szCs w:val="32"/>
        </w:rPr>
      </w:pPr>
      <w:r>
        <w:rPr>
          <w:rFonts w:hint="eastAsia" w:ascii="黑体" w:hAnsi="黑体" w:eastAsia="黑体" w:cs="Times New Roman"/>
          <w:bCs/>
          <w:color w:val="000000"/>
          <w:kern w:val="2"/>
          <w:szCs w:val="32"/>
        </w:rPr>
        <w:t>第</w:t>
      </w:r>
      <w:r>
        <w:rPr>
          <w:rFonts w:ascii="黑体" w:hAnsi="黑体" w:eastAsia="黑体" w:cs="Times New Roman"/>
          <w:bCs/>
          <w:color w:val="000000"/>
          <w:kern w:val="2"/>
          <w:szCs w:val="32"/>
        </w:rPr>
        <w:t>三</w:t>
      </w:r>
      <w:r>
        <w:rPr>
          <w:rFonts w:hint="eastAsia" w:ascii="黑体" w:hAnsi="黑体" w:eastAsia="黑体" w:cs="Times New Roman"/>
          <w:bCs/>
          <w:color w:val="000000"/>
          <w:kern w:val="2"/>
          <w:szCs w:val="32"/>
        </w:rPr>
        <w:t>章  量化管理计分</w:t>
      </w:r>
      <w:r>
        <w:rPr>
          <w:rFonts w:ascii="黑体" w:hAnsi="黑体" w:eastAsia="黑体" w:cs="Times New Roman"/>
          <w:bCs/>
          <w:color w:val="000000"/>
          <w:kern w:val="2"/>
          <w:szCs w:val="32"/>
        </w:rPr>
        <w:t>制</w:t>
      </w:r>
    </w:p>
    <w:p>
      <w:pPr>
        <w:spacing w:before="0" w:beforeLines="0" w:after="0" w:afterLines="0" w:line="560" w:lineRule="exact"/>
        <w:ind w:firstLine="420" w:firstLineChars="200"/>
        <w:rPr>
          <w:rFonts w:ascii="仿宋" w:hAnsi="仿宋" w:eastAsia="仿宋"/>
          <w:color w:val="000000"/>
          <w:szCs w:val="32"/>
        </w:rPr>
      </w:pPr>
      <w:r>
        <w:rPr>
          <w:rFonts w:hint="eastAsia" w:ascii="黑体" w:hAnsi="黑体" w:eastAsia="黑体"/>
          <w:bCs/>
          <w:color w:val="000000"/>
          <w:szCs w:val="32"/>
        </w:rPr>
        <w:t>第十条</w:t>
      </w:r>
      <w:r>
        <w:rPr>
          <w:rFonts w:hint="eastAsia" w:ascii="仿宋" w:hAnsi="仿宋" w:eastAsia="仿宋"/>
          <w:b/>
          <w:color w:val="000000"/>
          <w:szCs w:val="32"/>
        </w:rPr>
        <w:t xml:space="preserve">  </w:t>
      </w:r>
      <w:r>
        <w:rPr>
          <w:rFonts w:hint="eastAsia" w:ascii="仿宋" w:hAnsi="仿宋" w:eastAsia="仿宋"/>
          <w:color w:val="000000"/>
          <w:szCs w:val="32"/>
        </w:rPr>
        <w:t>计分</w:t>
      </w:r>
      <w:r>
        <w:rPr>
          <w:rFonts w:ascii="仿宋" w:hAnsi="仿宋" w:eastAsia="仿宋"/>
          <w:color w:val="000000"/>
          <w:szCs w:val="32"/>
        </w:rPr>
        <w:t>规则</w:t>
      </w:r>
    </w:p>
    <w:p>
      <w:pPr>
        <w:spacing w:line="560" w:lineRule="exact"/>
        <w:ind w:firstLine="420" w:firstLineChars="200"/>
        <w:rPr>
          <w:rFonts w:ascii="仿宋" w:hAnsi="仿宋" w:eastAsia="仿宋"/>
          <w:color w:val="000000"/>
          <w:szCs w:val="32"/>
        </w:rPr>
      </w:pPr>
      <w:r>
        <w:rPr>
          <w:rFonts w:hint="eastAsia" w:ascii="仿宋" w:hAnsi="仿宋" w:eastAsia="仿宋"/>
          <w:color w:val="000000"/>
          <w:szCs w:val="32"/>
        </w:rPr>
        <w:t>1.对实验操作人员和实验室计分。根据实验室安全隐患种类（</w:t>
      </w:r>
      <w:r>
        <w:rPr>
          <w:rFonts w:hint="eastAsia" w:ascii="仿宋" w:hAnsi="仿宋" w:eastAsia="仿宋"/>
          <w:color w:val="000000"/>
          <w:kern w:val="0"/>
          <w:szCs w:val="32"/>
        </w:rPr>
        <w:t>违规操作、硬件不到位</w:t>
      </w:r>
      <w:r>
        <w:rPr>
          <w:rFonts w:hint="eastAsia" w:ascii="仿宋" w:hAnsi="仿宋" w:eastAsia="仿宋"/>
          <w:color w:val="000000"/>
          <w:szCs w:val="32"/>
        </w:rPr>
        <w:t>）</w:t>
      </w:r>
      <w:r>
        <w:rPr>
          <w:rFonts w:hint="eastAsia" w:ascii="仿宋" w:hAnsi="仿宋" w:eastAsia="仿宋"/>
          <w:color w:val="000000"/>
          <w:kern w:val="0"/>
          <w:szCs w:val="32"/>
        </w:rPr>
        <w:t>，</w:t>
      </w:r>
      <w:r>
        <w:rPr>
          <w:rFonts w:hint="eastAsia" w:ascii="仿宋" w:hAnsi="仿宋" w:eastAsia="仿宋"/>
          <w:color w:val="000000"/>
          <w:szCs w:val="32"/>
        </w:rPr>
        <w:t>针对不同风险等级实验室，按照隐患等级分别计分，具体内容参照《实验室安全隐患分类分级计分表》（附件1）。</w:t>
      </w:r>
    </w:p>
    <w:p>
      <w:pPr>
        <w:spacing w:line="560" w:lineRule="exact"/>
        <w:ind w:firstLine="420" w:firstLineChars="200"/>
        <w:rPr>
          <w:rFonts w:hint="eastAsia" w:ascii="仿宋" w:hAnsi="仿宋" w:eastAsia="仿宋"/>
          <w:color w:val="000000"/>
          <w:szCs w:val="32"/>
        </w:rPr>
      </w:pPr>
      <w:r>
        <w:rPr>
          <w:rFonts w:hint="eastAsia" w:ascii="仿宋" w:hAnsi="仿宋" w:eastAsia="仿宋"/>
          <w:color w:val="000000"/>
          <w:szCs w:val="32"/>
        </w:rPr>
        <w:t>2.对二级单位计分。统计二级单位安全隐患整改落实情况，针对整改率的不同区间分别计分（详见附件1）。</w:t>
      </w:r>
    </w:p>
    <w:p>
      <w:pPr>
        <w:spacing w:line="560" w:lineRule="exact"/>
        <w:ind w:firstLine="420" w:firstLineChars="200"/>
        <w:rPr>
          <w:rFonts w:hint="eastAsia" w:ascii="仿宋" w:hAnsi="仿宋" w:eastAsia="仿宋"/>
          <w:color w:val="000000"/>
          <w:szCs w:val="32"/>
        </w:rPr>
      </w:pPr>
      <w:r>
        <w:rPr>
          <w:rFonts w:hint="eastAsia" w:ascii="仿宋" w:hAnsi="仿宋" w:eastAsia="仿宋"/>
          <w:color w:val="000000"/>
          <w:szCs w:val="32"/>
        </w:rPr>
        <w:t>3.隐患分类参照《实验室技术安全检查计分项目表》（附件2）。</w:t>
      </w:r>
    </w:p>
    <w:p>
      <w:pPr>
        <w:adjustRightInd w:val="0"/>
        <w:snapToGrid w:val="0"/>
        <w:spacing w:before="0" w:beforeLines="0" w:line="560" w:lineRule="exact"/>
        <w:ind w:firstLine="420" w:firstLineChars="200"/>
        <w:rPr>
          <w:rFonts w:ascii="仿宋" w:hAnsi="仿宋" w:eastAsia="仿宋"/>
          <w:color w:val="000000"/>
          <w:szCs w:val="32"/>
          <w:shd w:val="clear" w:color="auto" w:fill="FFFFFF"/>
        </w:rPr>
      </w:pPr>
      <w:r>
        <w:rPr>
          <w:rFonts w:hint="eastAsia" w:ascii="黑体" w:hAnsi="黑体" w:eastAsia="黑体"/>
          <w:bCs/>
          <w:color w:val="000000"/>
          <w:szCs w:val="32"/>
        </w:rPr>
        <w:t>第十一条</w:t>
      </w:r>
      <w:r>
        <w:rPr>
          <w:rFonts w:hint="eastAsia" w:ascii="仿宋" w:hAnsi="仿宋" w:eastAsia="仿宋"/>
          <w:b/>
          <w:color w:val="000000"/>
          <w:szCs w:val="32"/>
        </w:rPr>
        <w:t xml:space="preserve">  </w:t>
      </w:r>
      <w:r>
        <w:rPr>
          <w:rFonts w:ascii="仿宋" w:hAnsi="仿宋" w:eastAsia="仿宋"/>
          <w:color w:val="000000"/>
          <w:szCs w:val="32"/>
        </w:rPr>
        <w:t>计分周期</w:t>
      </w:r>
    </w:p>
    <w:p>
      <w:pPr>
        <w:adjustRightInd w:val="0"/>
        <w:snapToGrid w:val="0"/>
        <w:spacing w:line="560" w:lineRule="exact"/>
        <w:ind w:firstLine="420" w:firstLineChars="200"/>
        <w:rPr>
          <w:rFonts w:ascii="仿宋" w:hAnsi="仿宋" w:eastAsia="仿宋"/>
          <w:color w:val="000000"/>
          <w:szCs w:val="32"/>
        </w:rPr>
      </w:pPr>
      <w:r>
        <w:rPr>
          <w:rFonts w:hint="eastAsia" w:ascii="仿宋" w:hAnsi="仿宋" w:eastAsia="仿宋"/>
          <w:color w:val="000000"/>
          <w:szCs w:val="32"/>
        </w:rPr>
        <w:t xml:space="preserve">设定一个自然年为一个计分周期（即每年 </w:t>
      </w:r>
      <w:r>
        <w:rPr>
          <w:rFonts w:ascii="仿宋" w:hAnsi="仿宋" w:eastAsia="仿宋"/>
          <w:color w:val="000000"/>
          <w:szCs w:val="32"/>
        </w:rPr>
        <w:t>1</w:t>
      </w:r>
      <w:r>
        <w:rPr>
          <w:rFonts w:hint="eastAsia" w:ascii="仿宋" w:hAnsi="仿宋" w:eastAsia="仿宋"/>
          <w:color w:val="000000"/>
          <w:szCs w:val="32"/>
        </w:rPr>
        <w:t>月1日至12月31日），一个</w:t>
      </w:r>
      <w:r>
        <w:rPr>
          <w:rFonts w:ascii="仿宋" w:hAnsi="仿宋" w:eastAsia="仿宋"/>
          <w:color w:val="000000"/>
          <w:szCs w:val="32"/>
        </w:rPr>
        <w:t>计分周期结束后，符合清零条件的</w:t>
      </w:r>
      <w:r>
        <w:rPr>
          <w:rFonts w:hint="eastAsia" w:ascii="仿宋" w:hAnsi="仿宋" w:eastAsia="仿宋"/>
          <w:color w:val="000000"/>
          <w:szCs w:val="32"/>
        </w:rPr>
        <w:t>，计</w:t>
      </w:r>
      <w:r>
        <w:rPr>
          <w:rFonts w:ascii="仿宋" w:hAnsi="仿宋" w:eastAsia="仿宋"/>
          <w:color w:val="000000"/>
          <w:szCs w:val="32"/>
        </w:rPr>
        <w:t>分清零，</w:t>
      </w:r>
      <w:r>
        <w:rPr>
          <w:rFonts w:hint="eastAsia" w:ascii="仿宋" w:hAnsi="仿宋" w:eastAsia="仿宋"/>
          <w:color w:val="000000"/>
          <w:szCs w:val="32"/>
        </w:rPr>
        <w:t>开始新一轮计分</w:t>
      </w:r>
      <w:r>
        <w:rPr>
          <w:rFonts w:ascii="仿宋" w:hAnsi="仿宋" w:eastAsia="仿宋"/>
          <w:color w:val="000000"/>
          <w:szCs w:val="32"/>
        </w:rPr>
        <w:t>周期。</w:t>
      </w:r>
    </w:p>
    <w:p>
      <w:pPr>
        <w:adjustRightInd w:val="0"/>
        <w:snapToGrid w:val="0"/>
        <w:spacing w:line="560" w:lineRule="exact"/>
        <w:ind w:firstLine="420" w:firstLineChars="200"/>
        <w:rPr>
          <w:rFonts w:ascii="仿宋" w:hAnsi="仿宋" w:eastAsia="仿宋"/>
          <w:b/>
          <w:color w:val="000000"/>
          <w:szCs w:val="32"/>
        </w:rPr>
      </w:pPr>
      <w:r>
        <w:rPr>
          <w:rFonts w:hint="eastAsia" w:ascii="黑体" w:hAnsi="黑体" w:eastAsia="黑体"/>
          <w:bCs/>
          <w:color w:val="000000"/>
          <w:szCs w:val="32"/>
        </w:rPr>
        <w:t>第十二条</w:t>
      </w:r>
      <w:r>
        <w:rPr>
          <w:rFonts w:hint="eastAsia" w:ascii="仿宋" w:hAnsi="仿宋" w:eastAsia="仿宋"/>
          <w:b/>
          <w:color w:val="000000"/>
          <w:szCs w:val="32"/>
        </w:rPr>
        <w:t xml:space="preserve">  </w:t>
      </w:r>
      <w:r>
        <w:rPr>
          <w:rFonts w:hint="eastAsia" w:ascii="仿宋" w:hAnsi="仿宋" w:eastAsia="仿宋"/>
          <w:color w:val="000000"/>
          <w:szCs w:val="32"/>
        </w:rPr>
        <w:t>计分使用</w:t>
      </w:r>
    </w:p>
    <w:p>
      <w:pPr>
        <w:adjustRightInd w:val="0"/>
        <w:snapToGrid w:val="0"/>
        <w:spacing w:line="560" w:lineRule="exact"/>
        <w:ind w:firstLine="420" w:firstLineChars="200"/>
        <w:rPr>
          <w:rFonts w:ascii="仿宋" w:hAnsi="仿宋" w:eastAsia="仿宋"/>
          <w:color w:val="000000"/>
          <w:szCs w:val="32"/>
        </w:rPr>
      </w:pPr>
      <w:r>
        <w:rPr>
          <w:rFonts w:hint="eastAsia" w:ascii="仿宋" w:hAnsi="仿宋" w:eastAsia="仿宋"/>
          <w:color w:val="000000"/>
          <w:szCs w:val="32"/>
        </w:rPr>
        <w:t>按照《实验室技术安全检查计分使用表》（附件3），在每个计分周期内，督促二级单位实验室安全管理人员和实验室工作人员落实安全准入制度，掌握安全知识和技能，提高安全意识，摒弃不安全行为，及时完成整改，消除安全隐患。</w:t>
      </w:r>
    </w:p>
    <w:p>
      <w:pPr>
        <w:snapToGrid w:val="0"/>
        <w:spacing w:line="560" w:lineRule="exact"/>
        <w:ind w:firstLine="420" w:firstLineChars="200"/>
        <w:jc w:val="both"/>
        <w:rPr>
          <w:rFonts w:ascii="仿宋" w:hAnsi="仿宋" w:eastAsia="仿宋"/>
          <w:color w:val="000000"/>
          <w:szCs w:val="32"/>
        </w:rPr>
      </w:pPr>
      <w:r>
        <w:rPr>
          <w:rFonts w:hint="eastAsia" w:ascii="黑体" w:hAnsi="黑体" w:eastAsia="黑体"/>
          <w:bCs/>
          <w:color w:val="000000"/>
          <w:szCs w:val="32"/>
        </w:rPr>
        <w:t>第十三条</w:t>
      </w:r>
      <w:r>
        <w:rPr>
          <w:rFonts w:hint="eastAsia" w:ascii="仿宋" w:hAnsi="仿宋" w:eastAsia="仿宋"/>
          <w:b/>
          <w:color w:val="000000"/>
          <w:szCs w:val="32"/>
        </w:rPr>
        <w:t xml:space="preserve">  </w:t>
      </w:r>
      <w:r>
        <w:rPr>
          <w:rFonts w:hint="eastAsia" w:ascii="仿宋" w:hAnsi="仿宋" w:eastAsia="仿宋"/>
          <w:color w:val="000000"/>
          <w:szCs w:val="32"/>
        </w:rPr>
        <w:t>计分实施</w:t>
      </w:r>
    </w:p>
    <w:p>
      <w:pPr>
        <w:adjustRightInd w:val="0"/>
        <w:snapToGrid w:val="0"/>
        <w:spacing w:line="560" w:lineRule="exact"/>
        <w:ind w:firstLine="420" w:firstLineChars="200"/>
        <w:jc w:val="both"/>
        <w:rPr>
          <w:rFonts w:ascii="仿宋" w:hAnsi="仿宋" w:eastAsia="仿宋"/>
          <w:color w:val="000000"/>
          <w:szCs w:val="32"/>
        </w:rPr>
      </w:pPr>
      <w:r>
        <w:rPr>
          <w:rFonts w:hint="eastAsia" w:ascii="仿宋" w:hAnsi="仿宋" w:eastAsia="仿宋"/>
          <w:color w:val="000000"/>
          <w:szCs w:val="32"/>
        </w:rPr>
        <w:t>校、院开展的各级</w:t>
      </w:r>
      <w:r>
        <w:rPr>
          <w:rFonts w:ascii="仿宋" w:hAnsi="仿宋" w:eastAsia="仿宋"/>
          <w:color w:val="000000"/>
          <w:szCs w:val="32"/>
        </w:rPr>
        <w:t>检查过程中，检查人员应及时发现、制止和纠正现场</w:t>
      </w:r>
      <w:r>
        <w:rPr>
          <w:rFonts w:hint="eastAsia" w:ascii="仿宋" w:hAnsi="仿宋" w:eastAsia="仿宋"/>
          <w:color w:val="000000"/>
          <w:szCs w:val="32"/>
        </w:rPr>
        <w:t>违规</w:t>
      </w:r>
      <w:r>
        <w:rPr>
          <w:rFonts w:ascii="仿宋" w:hAnsi="仿宋" w:eastAsia="仿宋"/>
          <w:color w:val="000000"/>
          <w:szCs w:val="32"/>
        </w:rPr>
        <w:t>现象，</w:t>
      </w:r>
      <w:r>
        <w:rPr>
          <w:rFonts w:hint="eastAsia" w:ascii="仿宋" w:hAnsi="仿宋" w:eastAsia="仿宋"/>
          <w:color w:val="000000"/>
          <w:szCs w:val="32"/>
        </w:rPr>
        <w:t>对照附件2，</w:t>
      </w:r>
      <w:r>
        <w:rPr>
          <w:rFonts w:ascii="仿宋" w:hAnsi="仿宋" w:eastAsia="仿宋"/>
          <w:color w:val="000000"/>
          <w:szCs w:val="32"/>
        </w:rPr>
        <w:t>做好</w:t>
      </w:r>
      <w:r>
        <w:rPr>
          <w:rFonts w:hint="eastAsia" w:ascii="仿宋" w:hAnsi="仿宋" w:eastAsia="仿宋"/>
          <w:color w:val="000000"/>
          <w:szCs w:val="32"/>
        </w:rPr>
        <w:t>隐患</w:t>
      </w:r>
      <w:r>
        <w:rPr>
          <w:rFonts w:ascii="仿宋" w:hAnsi="仿宋" w:eastAsia="仿宋"/>
          <w:color w:val="000000"/>
          <w:szCs w:val="32"/>
        </w:rPr>
        <w:t>现象的拍照（拍摄）等取证工作</w:t>
      </w:r>
      <w:r>
        <w:rPr>
          <w:rFonts w:hint="eastAsia" w:ascii="仿宋" w:hAnsi="仿宋" w:eastAsia="仿宋"/>
          <w:color w:val="000000"/>
          <w:szCs w:val="32"/>
        </w:rPr>
        <w:t>。操作人员、指导</w:t>
      </w:r>
      <w:r>
        <w:rPr>
          <w:rFonts w:ascii="仿宋" w:hAnsi="仿宋" w:eastAsia="仿宋"/>
          <w:color w:val="000000"/>
          <w:szCs w:val="32"/>
        </w:rPr>
        <w:t>老师、</w:t>
      </w:r>
      <w:r>
        <w:rPr>
          <w:rFonts w:hint="eastAsia" w:ascii="仿宋" w:hAnsi="仿宋" w:eastAsia="仿宋"/>
          <w:color w:val="000000"/>
          <w:szCs w:val="32"/>
        </w:rPr>
        <w:t>实验室安全责任人即时计分。二级单位主体责任根据整改反馈情况进行</w:t>
      </w:r>
      <w:r>
        <w:rPr>
          <w:rFonts w:ascii="仿宋" w:hAnsi="仿宋" w:eastAsia="仿宋"/>
          <w:color w:val="000000"/>
          <w:szCs w:val="32"/>
        </w:rPr>
        <w:t>计分</w:t>
      </w:r>
      <w:r>
        <w:rPr>
          <w:rFonts w:hint="eastAsia" w:ascii="仿宋" w:hAnsi="仿宋" w:eastAsia="仿宋"/>
          <w:color w:val="000000"/>
          <w:szCs w:val="32"/>
        </w:rPr>
        <w:t>。</w:t>
      </w:r>
    </w:p>
    <w:p>
      <w:pPr>
        <w:adjustRightInd w:val="0"/>
        <w:snapToGrid w:val="0"/>
        <w:spacing w:line="560" w:lineRule="exact"/>
        <w:ind w:firstLine="420" w:firstLineChars="200"/>
        <w:jc w:val="both"/>
        <w:rPr>
          <w:rFonts w:ascii="仿宋" w:hAnsi="仿宋" w:eastAsia="仿宋"/>
          <w:color w:val="000000"/>
          <w:szCs w:val="32"/>
        </w:rPr>
      </w:pPr>
      <w:r>
        <w:rPr>
          <w:rFonts w:hint="eastAsia" w:ascii="黑体" w:hAnsi="黑体" w:eastAsia="黑体"/>
          <w:bCs/>
          <w:color w:val="000000"/>
          <w:szCs w:val="32"/>
        </w:rPr>
        <w:t>第十四条</w:t>
      </w:r>
      <w:r>
        <w:rPr>
          <w:rFonts w:hint="eastAsia" w:ascii="仿宋" w:hAnsi="仿宋" w:eastAsia="仿宋"/>
          <w:color w:val="000000"/>
          <w:szCs w:val="32"/>
        </w:rPr>
        <w:t xml:space="preserve">  被计分对象</w:t>
      </w:r>
      <w:r>
        <w:rPr>
          <w:rFonts w:ascii="仿宋" w:hAnsi="仿宋" w:eastAsia="仿宋"/>
          <w:color w:val="000000"/>
          <w:szCs w:val="32"/>
        </w:rPr>
        <w:t>对</w:t>
      </w:r>
      <w:r>
        <w:rPr>
          <w:rFonts w:hint="eastAsia" w:ascii="仿宋" w:hAnsi="仿宋" w:eastAsia="仿宋"/>
          <w:color w:val="000000"/>
          <w:szCs w:val="32"/>
        </w:rPr>
        <w:t>隐患</w:t>
      </w:r>
      <w:r>
        <w:rPr>
          <w:rFonts w:ascii="仿宋" w:hAnsi="仿宋" w:eastAsia="仿宋"/>
          <w:color w:val="000000"/>
          <w:szCs w:val="32"/>
        </w:rPr>
        <w:t>行为及计分有异议时，可向</w:t>
      </w:r>
      <w:r>
        <w:rPr>
          <w:rFonts w:hint="eastAsia" w:ascii="仿宋" w:hAnsi="仿宋" w:eastAsia="仿宋"/>
          <w:color w:val="000000"/>
          <w:szCs w:val="32"/>
        </w:rPr>
        <w:t>二级单位</w:t>
      </w:r>
      <w:r>
        <w:rPr>
          <w:rFonts w:ascii="仿宋" w:hAnsi="仿宋" w:eastAsia="仿宋"/>
          <w:color w:val="000000"/>
          <w:szCs w:val="32"/>
        </w:rPr>
        <w:t>或实验室与设备管理处</w:t>
      </w:r>
      <w:r>
        <w:rPr>
          <w:rFonts w:hint="eastAsia" w:ascii="仿宋" w:hAnsi="仿宋" w:eastAsia="仿宋"/>
          <w:color w:val="000000"/>
          <w:szCs w:val="32"/>
        </w:rPr>
        <w:t>申</w:t>
      </w:r>
      <w:r>
        <w:rPr>
          <w:rFonts w:ascii="仿宋" w:hAnsi="仿宋" w:eastAsia="仿宋"/>
          <w:color w:val="000000"/>
          <w:szCs w:val="32"/>
        </w:rPr>
        <w:t>诉，各级主管部门负责受理和协调沟通相关申诉事项。</w:t>
      </w:r>
    </w:p>
    <w:p>
      <w:pPr>
        <w:widowControl/>
        <w:adjustRightInd w:val="0"/>
        <w:snapToGrid w:val="0"/>
        <w:spacing w:before="217" w:beforeLines="50" w:after="217" w:afterLines="50" w:line="560" w:lineRule="exact"/>
        <w:jc w:val="center"/>
        <w:rPr>
          <w:rFonts w:ascii="黑体" w:hAnsi="黑体" w:eastAsia="黑体" w:cs="Times New Roman"/>
          <w:bCs/>
          <w:color w:val="000000"/>
          <w:kern w:val="2"/>
          <w:szCs w:val="32"/>
        </w:rPr>
      </w:pPr>
      <w:r>
        <w:rPr>
          <w:rFonts w:hint="eastAsia" w:ascii="黑体" w:hAnsi="黑体" w:eastAsia="黑体" w:cs="Times New Roman"/>
          <w:bCs/>
          <w:color w:val="000000"/>
          <w:kern w:val="2"/>
          <w:szCs w:val="32"/>
        </w:rPr>
        <w:t>第</w:t>
      </w:r>
      <w:r>
        <w:rPr>
          <w:rFonts w:ascii="黑体" w:hAnsi="黑体" w:eastAsia="黑体" w:cs="Times New Roman"/>
          <w:bCs/>
          <w:color w:val="000000"/>
          <w:kern w:val="2"/>
          <w:szCs w:val="32"/>
        </w:rPr>
        <w:t>四章</w:t>
      </w:r>
      <w:r>
        <w:rPr>
          <w:rFonts w:hint="eastAsia" w:ascii="黑体" w:hAnsi="黑体" w:eastAsia="黑体" w:cs="Times New Roman"/>
          <w:bCs/>
          <w:color w:val="000000"/>
          <w:kern w:val="2"/>
          <w:szCs w:val="32"/>
        </w:rPr>
        <w:t xml:space="preserve">  附则</w:t>
      </w:r>
    </w:p>
    <w:p>
      <w:pPr>
        <w:adjustRightInd w:val="0"/>
        <w:snapToGrid w:val="0"/>
        <w:spacing w:line="560" w:lineRule="exact"/>
        <w:ind w:firstLine="420" w:firstLineChars="200"/>
        <w:rPr>
          <w:rFonts w:ascii="仿宋" w:hAnsi="仿宋" w:eastAsia="仿宋"/>
          <w:color w:val="000000"/>
          <w:szCs w:val="32"/>
        </w:rPr>
      </w:pPr>
      <w:r>
        <w:rPr>
          <w:rFonts w:hint="eastAsia" w:ascii="黑体" w:hAnsi="黑体" w:eastAsia="黑体"/>
          <w:bCs/>
          <w:color w:val="000000"/>
          <w:szCs w:val="32"/>
        </w:rPr>
        <w:t xml:space="preserve">第十五条 </w:t>
      </w:r>
      <w:r>
        <w:rPr>
          <w:rFonts w:hint="eastAsia" w:ascii="仿宋" w:hAnsi="仿宋" w:eastAsia="仿宋"/>
          <w:color w:val="000000"/>
          <w:szCs w:val="32"/>
        </w:rPr>
        <w:t xml:space="preserve"> </w:t>
      </w:r>
      <w:r>
        <w:rPr>
          <w:rFonts w:ascii="仿宋" w:hAnsi="仿宋" w:eastAsia="仿宋"/>
          <w:color w:val="000000"/>
          <w:szCs w:val="32"/>
        </w:rPr>
        <w:t>本细则自</w:t>
      </w:r>
      <w:r>
        <w:rPr>
          <w:rFonts w:hint="eastAsia" w:ascii="仿宋" w:hAnsi="仿宋" w:eastAsia="仿宋"/>
          <w:color w:val="000000"/>
          <w:szCs w:val="32"/>
        </w:rPr>
        <w:t>2</w:t>
      </w:r>
      <w:r>
        <w:rPr>
          <w:rFonts w:ascii="仿宋" w:hAnsi="仿宋" w:eastAsia="仿宋"/>
          <w:color w:val="000000"/>
          <w:szCs w:val="32"/>
        </w:rPr>
        <w:t>023年</w:t>
      </w:r>
      <w:r>
        <w:rPr>
          <w:rFonts w:hint="eastAsia" w:ascii="仿宋" w:hAnsi="仿宋" w:eastAsia="仿宋"/>
          <w:color w:val="000000"/>
          <w:szCs w:val="32"/>
        </w:rPr>
        <w:t>1月1日</w:t>
      </w:r>
      <w:r>
        <w:rPr>
          <w:rFonts w:ascii="仿宋" w:hAnsi="仿宋" w:eastAsia="仿宋"/>
          <w:color w:val="000000"/>
          <w:szCs w:val="32"/>
        </w:rPr>
        <w:t>起施行，由实验室与设备管理处负责解释。</w:t>
      </w:r>
    </w:p>
    <w:p>
      <w:pPr>
        <w:adjustRightInd w:val="0"/>
        <w:snapToGrid w:val="0"/>
        <w:spacing w:line="560" w:lineRule="exact"/>
        <w:ind w:firstLine="420" w:firstLineChars="200"/>
        <w:rPr>
          <w:rFonts w:ascii="仿宋" w:hAnsi="仿宋" w:eastAsia="仿宋"/>
          <w:color w:val="000000"/>
          <w:szCs w:val="32"/>
        </w:rPr>
      </w:pPr>
    </w:p>
    <w:p>
      <w:pPr>
        <w:adjustRightInd w:val="0"/>
        <w:snapToGrid w:val="0"/>
        <w:spacing w:before="0" w:beforeLines="0" w:after="0" w:afterLines="0" w:line="560" w:lineRule="exact"/>
        <w:ind w:firstLine="420" w:firstLineChars="200"/>
        <w:jc w:val="both"/>
        <w:rPr>
          <w:rFonts w:ascii="仿宋" w:hAnsi="仿宋" w:eastAsia="仿宋"/>
          <w:color w:val="000000"/>
          <w:szCs w:val="32"/>
        </w:rPr>
      </w:pPr>
      <w:r>
        <w:rPr>
          <w:rFonts w:hint="eastAsia" w:ascii="仿宋" w:hAnsi="仿宋" w:eastAsia="仿宋"/>
          <w:color w:val="000000"/>
          <w:szCs w:val="32"/>
        </w:rPr>
        <w:t>附件：1.实验室安全隐患分类分级计分表</w:t>
      </w:r>
    </w:p>
    <w:p>
      <w:pPr>
        <w:adjustRightInd w:val="0"/>
        <w:snapToGrid w:val="0"/>
        <w:spacing w:before="0" w:beforeLines="0" w:after="0" w:afterLines="0" w:line="560" w:lineRule="exact"/>
        <w:ind w:firstLine="1050" w:firstLineChars="500"/>
        <w:jc w:val="both"/>
        <w:rPr>
          <w:rFonts w:hint="eastAsia" w:ascii="仿宋" w:hAnsi="仿宋" w:eastAsia="仿宋"/>
          <w:color w:val="000000"/>
          <w:szCs w:val="32"/>
        </w:rPr>
      </w:pPr>
      <w:r>
        <w:rPr>
          <w:rFonts w:hint="eastAsia" w:ascii="仿宋" w:hAnsi="仿宋" w:eastAsia="仿宋"/>
          <w:color w:val="000000"/>
          <w:szCs w:val="32"/>
        </w:rPr>
        <w:t>2.实验室技术安全检查计分项目表</w:t>
      </w:r>
    </w:p>
    <w:p>
      <w:pPr>
        <w:adjustRightInd w:val="0"/>
        <w:snapToGrid w:val="0"/>
        <w:spacing w:before="0" w:beforeLines="0" w:after="0" w:afterLines="0" w:line="560" w:lineRule="exact"/>
        <w:ind w:firstLine="420" w:firstLineChars="200"/>
        <w:jc w:val="both"/>
        <w:rPr>
          <w:rFonts w:hint="eastAsia" w:ascii="仿宋" w:hAnsi="仿宋" w:eastAsia="仿宋"/>
          <w:b/>
          <w:color w:val="000000"/>
          <w:sz w:val="32"/>
          <w:szCs w:val="32"/>
        </w:rPr>
        <w:sectPr>
          <w:footerReference r:id="rId3" w:type="default"/>
          <w:footerReference r:id="rId4" w:type="even"/>
          <w:pgSz w:w="11906" w:h="16838"/>
          <w:pgMar w:top="2098" w:right="1588" w:bottom="1440" w:left="1588" w:header="851" w:footer="1134" w:gutter="0"/>
          <w:pgNumType w:fmt="decimalFullWidth"/>
          <w:cols w:space="720" w:num="1"/>
          <w:docGrid w:type="lines" w:linePitch="435" w:charSpace="0"/>
        </w:sectPr>
      </w:pPr>
      <w:r>
        <w:rPr>
          <w:rFonts w:hint="eastAsia" w:ascii="仿宋" w:hAnsi="仿宋" w:eastAsia="仿宋"/>
          <w:color w:val="000000"/>
          <w:szCs w:val="32"/>
        </w:rPr>
        <w:t xml:space="preserve">      3.实验室技术安全检查计分使用表</w:t>
      </w:r>
    </w:p>
    <w:p>
      <w:pPr>
        <w:ind w:firstLine="4578" w:firstLineChars="1900"/>
        <w:jc w:val="left"/>
        <w:rPr>
          <w:rFonts w:hint="eastAsia" w:ascii="宋体" w:hAnsi="宋体" w:eastAsia="宋体" w:cs="宋体"/>
          <w:b/>
          <w:sz w:val="24"/>
          <w:szCs w:val="24"/>
        </w:rPr>
      </w:pPr>
    </w:p>
    <w:p>
      <w:pPr>
        <w:rPr>
          <w:rFonts w:hint="eastAsia" w:ascii="黑体" w:hAnsi="黑体" w:eastAsia="黑体" w:cs="黑体"/>
          <w:b/>
          <w:sz w:val="32"/>
          <w:szCs w:val="32"/>
        </w:rPr>
      </w:pPr>
      <w:r>
        <w:rPr>
          <w:rFonts w:hint="eastAsia" w:ascii="黑体" w:hAnsi="黑体" w:eastAsia="黑体" w:cs="黑体"/>
          <w:b/>
          <w:sz w:val="32"/>
          <w:szCs w:val="32"/>
        </w:rPr>
        <w:t>附件1</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实验室安全隐患分类分级计分表</w:t>
      </w:r>
    </w:p>
    <w:tbl>
      <w:tblPr>
        <w:tblStyle w:val="9"/>
        <w:tblW w:w="1318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297"/>
        <w:gridCol w:w="1285"/>
        <w:gridCol w:w="1286"/>
        <w:gridCol w:w="1286"/>
        <w:gridCol w:w="1286"/>
        <w:gridCol w:w="1286"/>
        <w:gridCol w:w="1286"/>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983" w:type="dxa"/>
            <w:vMerge w:val="restart"/>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序号</w:t>
            </w:r>
          </w:p>
        </w:tc>
        <w:tc>
          <w:tcPr>
            <w:tcW w:w="2297" w:type="dxa"/>
            <w:vMerge w:val="restart"/>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隐患</w:t>
            </w:r>
            <w:r>
              <w:rPr>
                <w:rFonts w:ascii="仿宋" w:hAnsi="仿宋" w:eastAsia="仿宋" w:cs="Times New Roman"/>
                <w:kern w:val="0"/>
                <w:sz w:val="32"/>
                <w:szCs w:val="32"/>
              </w:rPr>
              <w:t>种类</w:t>
            </w:r>
          </w:p>
        </w:tc>
        <w:tc>
          <w:tcPr>
            <w:tcW w:w="3857" w:type="dxa"/>
            <w:gridSpan w:val="3"/>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一级</w:t>
            </w:r>
            <w:r>
              <w:rPr>
                <w:rFonts w:ascii="仿宋" w:hAnsi="仿宋" w:eastAsia="仿宋" w:cs="Times New Roman"/>
                <w:kern w:val="0"/>
                <w:sz w:val="32"/>
                <w:szCs w:val="32"/>
              </w:rPr>
              <w:t>实验室</w:t>
            </w:r>
          </w:p>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隐患</w:t>
            </w:r>
            <w:r>
              <w:rPr>
                <w:rFonts w:ascii="仿宋" w:hAnsi="仿宋" w:eastAsia="仿宋" w:cs="Times New Roman"/>
                <w:kern w:val="0"/>
                <w:sz w:val="32"/>
                <w:szCs w:val="32"/>
              </w:rPr>
              <w:t>计分</w:t>
            </w:r>
          </w:p>
        </w:tc>
        <w:tc>
          <w:tcPr>
            <w:tcW w:w="3858" w:type="dxa"/>
            <w:gridSpan w:val="3"/>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二-</w:t>
            </w:r>
            <w:r>
              <w:rPr>
                <w:rFonts w:ascii="仿宋" w:hAnsi="仿宋" w:eastAsia="仿宋" w:cs="Times New Roman"/>
                <w:kern w:val="0"/>
                <w:sz w:val="32"/>
                <w:szCs w:val="32"/>
              </w:rPr>
              <w:t>四级实验室</w:t>
            </w:r>
          </w:p>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隐患计分</w:t>
            </w:r>
          </w:p>
        </w:tc>
        <w:tc>
          <w:tcPr>
            <w:tcW w:w="2188" w:type="dxa"/>
            <w:vMerge w:val="restart"/>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计分对象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83" w:type="dxa"/>
            <w:vMerge w:val="continue"/>
            <w:shd w:val="clear" w:color="auto" w:fill="auto"/>
            <w:vAlign w:val="center"/>
          </w:tcPr>
          <w:p>
            <w:pPr>
              <w:snapToGrid w:val="0"/>
              <w:jc w:val="center"/>
              <w:rPr>
                <w:rFonts w:ascii="仿宋" w:hAnsi="仿宋" w:eastAsia="仿宋" w:cs="Times New Roman"/>
                <w:kern w:val="0"/>
                <w:sz w:val="32"/>
                <w:szCs w:val="32"/>
              </w:rPr>
            </w:pPr>
          </w:p>
        </w:tc>
        <w:tc>
          <w:tcPr>
            <w:tcW w:w="2297" w:type="dxa"/>
            <w:vMerge w:val="continue"/>
            <w:shd w:val="clear" w:color="auto" w:fill="auto"/>
            <w:vAlign w:val="center"/>
          </w:tcPr>
          <w:p>
            <w:pPr>
              <w:snapToGrid w:val="0"/>
              <w:jc w:val="center"/>
              <w:rPr>
                <w:rFonts w:ascii="仿宋" w:hAnsi="仿宋" w:eastAsia="仿宋" w:cs="Times New Roman"/>
                <w:kern w:val="0"/>
                <w:sz w:val="32"/>
                <w:szCs w:val="32"/>
              </w:rPr>
            </w:pPr>
          </w:p>
        </w:tc>
        <w:tc>
          <w:tcPr>
            <w:tcW w:w="1285"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一般</w:t>
            </w:r>
          </w:p>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隐患</w:t>
            </w:r>
          </w:p>
        </w:tc>
        <w:tc>
          <w:tcPr>
            <w:tcW w:w="1286"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严重</w:t>
            </w:r>
          </w:p>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隐患</w:t>
            </w:r>
          </w:p>
        </w:tc>
        <w:tc>
          <w:tcPr>
            <w:tcW w:w="1286"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重大</w:t>
            </w:r>
          </w:p>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隐患</w:t>
            </w:r>
          </w:p>
        </w:tc>
        <w:tc>
          <w:tcPr>
            <w:tcW w:w="1286"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一般</w:t>
            </w:r>
          </w:p>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隐患</w:t>
            </w:r>
          </w:p>
        </w:tc>
        <w:tc>
          <w:tcPr>
            <w:tcW w:w="1286"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严重</w:t>
            </w:r>
          </w:p>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隐患</w:t>
            </w:r>
          </w:p>
        </w:tc>
        <w:tc>
          <w:tcPr>
            <w:tcW w:w="1286"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重大</w:t>
            </w:r>
          </w:p>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隐患</w:t>
            </w:r>
          </w:p>
        </w:tc>
        <w:tc>
          <w:tcPr>
            <w:tcW w:w="2188" w:type="dxa"/>
            <w:vMerge w:val="continue"/>
            <w:shd w:val="clear" w:color="auto" w:fill="auto"/>
            <w:vAlign w:val="center"/>
          </w:tcPr>
          <w:p>
            <w:pPr>
              <w:snapToGrid w:val="0"/>
              <w:jc w:val="center"/>
              <w:rPr>
                <w:rFonts w:ascii="仿宋" w:hAnsi="仿宋"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983"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c>
          <w:tcPr>
            <w:tcW w:w="2297"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违规</w:t>
            </w:r>
            <w:r>
              <w:rPr>
                <w:rFonts w:ascii="仿宋" w:hAnsi="仿宋" w:eastAsia="仿宋" w:cs="Times New Roman"/>
                <w:kern w:val="0"/>
                <w:sz w:val="32"/>
                <w:szCs w:val="32"/>
              </w:rPr>
              <w:t>操作</w:t>
            </w:r>
          </w:p>
        </w:tc>
        <w:tc>
          <w:tcPr>
            <w:tcW w:w="1285"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c>
          <w:tcPr>
            <w:tcW w:w="1286" w:type="dxa"/>
            <w:shd w:val="clear" w:color="auto" w:fill="auto"/>
            <w:vAlign w:val="center"/>
          </w:tcPr>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3</w:t>
            </w:r>
          </w:p>
        </w:tc>
        <w:tc>
          <w:tcPr>
            <w:tcW w:w="1286"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6</w:t>
            </w:r>
          </w:p>
        </w:tc>
        <w:tc>
          <w:tcPr>
            <w:tcW w:w="1286"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0.5</w:t>
            </w:r>
          </w:p>
        </w:tc>
        <w:tc>
          <w:tcPr>
            <w:tcW w:w="1286" w:type="dxa"/>
            <w:shd w:val="clear" w:color="auto" w:fill="auto"/>
            <w:vAlign w:val="center"/>
          </w:tcPr>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2</w:t>
            </w:r>
          </w:p>
        </w:tc>
        <w:tc>
          <w:tcPr>
            <w:tcW w:w="1286" w:type="dxa"/>
            <w:shd w:val="clear" w:color="auto" w:fill="auto"/>
            <w:vAlign w:val="center"/>
          </w:tcPr>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3</w:t>
            </w:r>
          </w:p>
        </w:tc>
        <w:tc>
          <w:tcPr>
            <w:tcW w:w="2188" w:type="dxa"/>
            <w:shd w:val="clear" w:color="auto" w:fill="auto"/>
            <w:vAlign w:val="center"/>
          </w:tcPr>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实验</w:t>
            </w:r>
            <w:r>
              <w:rPr>
                <w:rFonts w:hint="eastAsia" w:ascii="仿宋" w:hAnsi="仿宋" w:eastAsia="仿宋" w:cs="Times New Roman"/>
                <w:kern w:val="0"/>
                <w:sz w:val="32"/>
                <w:szCs w:val="32"/>
              </w:rPr>
              <w:t>室</w:t>
            </w:r>
          </w:p>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工作</w:t>
            </w:r>
            <w:r>
              <w:rPr>
                <w:rFonts w:ascii="仿宋" w:hAnsi="仿宋" w:eastAsia="仿宋" w:cs="Times New Roman"/>
                <w:kern w:val="0"/>
                <w:sz w:val="32"/>
                <w:szCs w:val="32"/>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83"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2</w:t>
            </w:r>
          </w:p>
        </w:tc>
        <w:tc>
          <w:tcPr>
            <w:tcW w:w="2297"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硬件</w:t>
            </w:r>
            <w:r>
              <w:rPr>
                <w:rFonts w:ascii="仿宋" w:hAnsi="仿宋" w:eastAsia="仿宋" w:cs="Times New Roman"/>
                <w:kern w:val="0"/>
                <w:sz w:val="32"/>
                <w:szCs w:val="32"/>
              </w:rPr>
              <w:t>不到位</w:t>
            </w:r>
          </w:p>
        </w:tc>
        <w:tc>
          <w:tcPr>
            <w:tcW w:w="1285" w:type="dxa"/>
            <w:shd w:val="clear" w:color="auto" w:fill="auto"/>
            <w:vAlign w:val="center"/>
          </w:tcPr>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1</w:t>
            </w:r>
          </w:p>
        </w:tc>
        <w:tc>
          <w:tcPr>
            <w:tcW w:w="1286" w:type="dxa"/>
            <w:shd w:val="clear" w:color="auto" w:fill="auto"/>
            <w:vAlign w:val="center"/>
          </w:tcPr>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3</w:t>
            </w:r>
          </w:p>
        </w:tc>
        <w:tc>
          <w:tcPr>
            <w:tcW w:w="1286"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6</w:t>
            </w:r>
          </w:p>
        </w:tc>
        <w:tc>
          <w:tcPr>
            <w:tcW w:w="1286"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0.5</w:t>
            </w:r>
          </w:p>
        </w:tc>
        <w:tc>
          <w:tcPr>
            <w:tcW w:w="1286" w:type="dxa"/>
            <w:shd w:val="clear" w:color="auto" w:fill="auto"/>
            <w:vAlign w:val="center"/>
          </w:tcPr>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2</w:t>
            </w:r>
          </w:p>
        </w:tc>
        <w:tc>
          <w:tcPr>
            <w:tcW w:w="1286" w:type="dxa"/>
            <w:shd w:val="clear" w:color="auto" w:fill="auto"/>
            <w:vAlign w:val="center"/>
          </w:tcPr>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3</w:t>
            </w:r>
          </w:p>
        </w:tc>
        <w:tc>
          <w:tcPr>
            <w:tcW w:w="2188" w:type="dxa"/>
            <w:shd w:val="clear" w:color="auto" w:fill="auto"/>
            <w:vAlign w:val="center"/>
          </w:tcPr>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实验室</w:t>
            </w:r>
          </w:p>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安全责任人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83"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3</w:t>
            </w:r>
          </w:p>
        </w:tc>
        <w:tc>
          <w:tcPr>
            <w:tcW w:w="2297"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管理</w:t>
            </w:r>
            <w:r>
              <w:rPr>
                <w:rFonts w:ascii="仿宋" w:hAnsi="仿宋" w:eastAsia="仿宋" w:cs="Times New Roman"/>
                <w:kern w:val="0"/>
                <w:sz w:val="32"/>
                <w:szCs w:val="32"/>
              </w:rPr>
              <w:t>不到位</w:t>
            </w:r>
          </w:p>
        </w:tc>
        <w:tc>
          <w:tcPr>
            <w:tcW w:w="7715" w:type="dxa"/>
            <w:gridSpan w:val="6"/>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整改率＝</w:t>
            </w:r>
            <w:r>
              <w:rPr>
                <w:rFonts w:ascii="仿宋" w:hAnsi="仿宋" w:eastAsia="仿宋" w:cs="Times New Roman"/>
                <w:kern w:val="0"/>
                <w:sz w:val="32"/>
                <w:szCs w:val="32"/>
              </w:rPr>
              <w:t>0，   计3分</w:t>
            </w:r>
          </w:p>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0</w:t>
            </w:r>
            <w:r>
              <w:rPr>
                <w:rFonts w:hint="eastAsia" w:ascii="仿宋" w:hAnsi="仿宋" w:eastAsia="仿宋" w:cs="Times New Roman"/>
                <w:kern w:val="0"/>
                <w:sz w:val="32"/>
                <w:szCs w:val="32"/>
              </w:rPr>
              <w:t>＜整</w:t>
            </w:r>
            <w:r>
              <w:rPr>
                <w:rFonts w:ascii="仿宋" w:hAnsi="仿宋" w:eastAsia="仿宋" w:cs="Times New Roman"/>
                <w:kern w:val="0"/>
                <w:sz w:val="32"/>
                <w:szCs w:val="32"/>
              </w:rPr>
              <w:t>改率≤50%</w:t>
            </w:r>
            <w:r>
              <w:rPr>
                <w:rFonts w:hint="eastAsia" w:ascii="仿宋" w:hAnsi="仿宋" w:eastAsia="仿宋" w:cs="Times New Roman"/>
                <w:kern w:val="0"/>
                <w:sz w:val="32"/>
                <w:szCs w:val="32"/>
              </w:rPr>
              <w:t>，</w:t>
            </w:r>
            <w:r>
              <w:rPr>
                <w:rFonts w:ascii="仿宋" w:hAnsi="仿宋" w:eastAsia="仿宋" w:cs="Times New Roman"/>
                <w:kern w:val="0"/>
                <w:sz w:val="32"/>
                <w:szCs w:val="32"/>
              </w:rPr>
              <w:t xml:space="preserve"> 计2</w:t>
            </w:r>
            <w:r>
              <w:rPr>
                <w:rFonts w:hint="eastAsia" w:ascii="仿宋" w:hAnsi="仿宋" w:eastAsia="仿宋" w:cs="Times New Roman"/>
                <w:kern w:val="0"/>
                <w:sz w:val="32"/>
                <w:szCs w:val="32"/>
              </w:rPr>
              <w:t>分</w:t>
            </w:r>
          </w:p>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50%</w:t>
            </w:r>
            <w:r>
              <w:rPr>
                <w:rFonts w:hint="eastAsia" w:ascii="仿宋" w:hAnsi="仿宋" w:eastAsia="仿宋" w:cs="Times New Roman"/>
                <w:kern w:val="0"/>
                <w:sz w:val="32"/>
                <w:szCs w:val="32"/>
              </w:rPr>
              <w:t>＜整</w:t>
            </w:r>
            <w:r>
              <w:rPr>
                <w:rFonts w:ascii="仿宋" w:hAnsi="仿宋" w:eastAsia="仿宋" w:cs="Times New Roman"/>
                <w:kern w:val="0"/>
                <w:sz w:val="32"/>
                <w:szCs w:val="32"/>
              </w:rPr>
              <w:t>改率</w:t>
            </w:r>
            <w:r>
              <w:rPr>
                <w:rFonts w:hint="eastAsia" w:ascii="仿宋" w:hAnsi="仿宋" w:eastAsia="仿宋" w:cs="Times New Roman"/>
                <w:kern w:val="0"/>
                <w:sz w:val="32"/>
                <w:szCs w:val="32"/>
              </w:rPr>
              <w:t>＜</w:t>
            </w:r>
            <w:r>
              <w:rPr>
                <w:rFonts w:ascii="仿宋" w:hAnsi="仿宋" w:eastAsia="仿宋" w:cs="Times New Roman"/>
                <w:kern w:val="0"/>
                <w:sz w:val="32"/>
                <w:szCs w:val="32"/>
              </w:rPr>
              <w:t>100%</w:t>
            </w:r>
            <w:r>
              <w:rPr>
                <w:rFonts w:hint="eastAsia" w:ascii="仿宋" w:hAnsi="仿宋" w:eastAsia="仿宋" w:cs="Times New Roman"/>
                <w:kern w:val="0"/>
                <w:sz w:val="32"/>
                <w:szCs w:val="32"/>
              </w:rPr>
              <w:t>，</w:t>
            </w:r>
            <w:r>
              <w:rPr>
                <w:rFonts w:ascii="仿宋" w:hAnsi="仿宋" w:eastAsia="仿宋" w:cs="Times New Roman"/>
                <w:kern w:val="0"/>
                <w:sz w:val="32"/>
                <w:szCs w:val="32"/>
              </w:rPr>
              <w:t>计1</w:t>
            </w:r>
            <w:r>
              <w:rPr>
                <w:rFonts w:hint="eastAsia" w:ascii="仿宋" w:hAnsi="仿宋" w:eastAsia="仿宋" w:cs="Times New Roman"/>
                <w:kern w:val="0"/>
                <w:sz w:val="32"/>
                <w:szCs w:val="32"/>
              </w:rPr>
              <w:t>分</w:t>
            </w:r>
          </w:p>
        </w:tc>
        <w:tc>
          <w:tcPr>
            <w:tcW w:w="2188" w:type="dxa"/>
            <w:shd w:val="clear" w:color="auto" w:fill="auto"/>
            <w:vAlign w:val="center"/>
          </w:tcPr>
          <w:p>
            <w:pPr>
              <w:snapToGrid w:val="0"/>
              <w:jc w:val="center"/>
              <w:rPr>
                <w:rFonts w:ascii="仿宋" w:hAnsi="仿宋" w:eastAsia="仿宋" w:cs="Times New Roman"/>
                <w:kern w:val="0"/>
                <w:sz w:val="32"/>
                <w:szCs w:val="32"/>
              </w:rPr>
            </w:pPr>
            <w:r>
              <w:rPr>
                <w:rFonts w:hint="eastAsia" w:ascii="仿宋" w:hAnsi="仿宋" w:eastAsia="仿宋" w:cs="Times New Roman"/>
                <w:kern w:val="0"/>
                <w:sz w:val="32"/>
                <w:szCs w:val="32"/>
              </w:rPr>
              <w:t>二级单位</w:t>
            </w:r>
          </w:p>
          <w:p>
            <w:pPr>
              <w:snapToGrid w:val="0"/>
              <w:jc w:val="center"/>
              <w:rPr>
                <w:rFonts w:ascii="仿宋" w:hAnsi="仿宋" w:eastAsia="仿宋" w:cs="Times New Roman"/>
                <w:kern w:val="0"/>
                <w:sz w:val="32"/>
                <w:szCs w:val="32"/>
              </w:rPr>
            </w:pPr>
            <w:r>
              <w:rPr>
                <w:rFonts w:ascii="仿宋" w:hAnsi="仿宋" w:eastAsia="仿宋" w:cs="Times New Roman"/>
                <w:kern w:val="0"/>
                <w:sz w:val="32"/>
                <w:szCs w:val="32"/>
              </w:rPr>
              <w:t>安全责任人</w:t>
            </w:r>
          </w:p>
        </w:tc>
      </w:tr>
    </w:tbl>
    <w:p>
      <w:pPr>
        <w:ind w:firstLine="560" w:firstLineChars="200"/>
        <w:jc w:val="left"/>
        <w:rPr>
          <w:rFonts w:ascii="仿宋" w:hAnsi="仿宋" w:eastAsia="仿宋"/>
          <w:sz w:val="28"/>
          <w:szCs w:val="28"/>
        </w:rPr>
      </w:pPr>
      <w:r>
        <w:rPr>
          <w:rFonts w:hint="eastAsia" w:ascii="仿宋" w:hAnsi="仿宋" w:eastAsia="仿宋"/>
          <w:sz w:val="28"/>
          <w:szCs w:val="28"/>
        </w:rPr>
        <w:t>备注：当操作违规人员是学生时，对其指导老师和实验室安全责任人同步同等计分，如指导老师和实验室</w:t>
      </w:r>
    </w:p>
    <w:p>
      <w:pPr>
        <w:ind w:firstLine="1400" w:firstLineChars="500"/>
        <w:jc w:val="left"/>
        <w:rPr>
          <w:rFonts w:hint="eastAsia" w:ascii="仿宋" w:hAnsi="仿宋" w:eastAsia="仿宋"/>
          <w:sz w:val="28"/>
          <w:szCs w:val="28"/>
        </w:rPr>
      </w:pPr>
      <w:r>
        <w:rPr>
          <w:rFonts w:hint="eastAsia" w:ascii="仿宋" w:hAnsi="仿宋" w:eastAsia="仿宋"/>
          <w:sz w:val="28"/>
          <w:szCs w:val="28"/>
        </w:rPr>
        <w:t>安全责任人为同一人时，只计分一次。</w:t>
      </w:r>
    </w:p>
    <w:p>
      <w:pPr>
        <w:ind w:firstLine="1400" w:firstLineChars="500"/>
        <w:jc w:val="left"/>
        <w:rPr>
          <w:rFonts w:hint="eastAsia" w:ascii="仿宋" w:hAnsi="仿宋" w:eastAsia="仿宋"/>
          <w:sz w:val="28"/>
          <w:szCs w:val="28"/>
        </w:rPr>
      </w:pPr>
    </w:p>
    <w:tbl>
      <w:tblPr>
        <w:tblW w:w="1498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41"/>
        <w:gridCol w:w="3516"/>
        <w:gridCol w:w="6915"/>
        <w:gridCol w:w="696"/>
        <w:gridCol w:w="696"/>
        <w:gridCol w:w="1212"/>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14988" w:type="dxa"/>
            <w:gridSpan w:val="7"/>
            <w:tcBorders>
              <w:top w:val="nil"/>
              <w:left w:val="nil"/>
              <w:bottom w:val="nil"/>
              <w:right w:val="nil"/>
            </w:tcBorders>
            <w:shd w:val="clear"/>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 xml:space="preserve">附件2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0" w:type="auto"/>
            <w:gridSpan w:val="7"/>
            <w:tcBorders>
              <w:top w:val="nil"/>
              <w:left w:val="nil"/>
              <w:bottom w:val="single" w:color="000000" w:sz="4" w:space="0"/>
              <w:right w:val="nil"/>
            </w:tcBorders>
            <w:shd w:val="clear"/>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 xml:space="preserve">   实验室技术安全检查计分项目表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25"/>
                <w:bdr w:val="none" w:color="auto" w:sz="0" w:space="0"/>
                <w:lang w:val="en-US" w:eastAsia="zh-CN" w:bidi="ar"/>
              </w:rPr>
              <w:t>序号</w:t>
            </w:r>
          </w:p>
        </w:tc>
        <w:tc>
          <w:tcPr>
            <w:tcW w:w="35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bdr w:val="none" w:color="auto" w:sz="0" w:space="0"/>
                <w:lang w:val="en-US" w:eastAsia="zh-CN" w:bidi="ar"/>
              </w:rPr>
              <w:t>检查项目</w:t>
            </w:r>
          </w:p>
        </w:tc>
        <w:tc>
          <w:tcPr>
            <w:tcW w:w="70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bdr w:val="none" w:color="auto" w:sz="0" w:space="0"/>
                <w:lang w:val="en-US" w:eastAsia="zh-CN" w:bidi="ar"/>
              </w:rPr>
              <w:t>检查要点</w:t>
            </w:r>
          </w:p>
        </w:tc>
        <w:tc>
          <w:tcPr>
            <w:tcW w:w="6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bdr w:val="none" w:color="auto" w:sz="0" w:space="0"/>
                <w:lang w:val="en-US" w:eastAsia="zh-CN" w:bidi="ar"/>
              </w:rPr>
              <w:t>隐患   类型</w:t>
            </w:r>
          </w:p>
        </w:tc>
        <w:tc>
          <w:tcPr>
            <w:tcW w:w="6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bdr w:val="none" w:color="auto" w:sz="0" w:space="0"/>
                <w:lang w:val="en-US" w:eastAsia="zh-CN" w:bidi="ar"/>
              </w:rPr>
              <w:t>隐患   等级</w:t>
            </w: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Style w:val="25"/>
                <w:bdr w:val="none" w:color="auto" w:sz="0" w:space="0"/>
                <w:lang w:val="en-US" w:eastAsia="zh-CN" w:bidi="ar"/>
              </w:rPr>
              <w:t>计分值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8"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b/>
                <w:bCs/>
                <w:i w:val="0"/>
                <w:iCs w:val="0"/>
                <w:color w:val="000000"/>
                <w:sz w:val="21"/>
                <w:szCs w:val="21"/>
                <w:u w:val="none"/>
              </w:rPr>
            </w:pPr>
          </w:p>
        </w:tc>
        <w:tc>
          <w:tcPr>
            <w:tcW w:w="35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1"/>
                <w:szCs w:val="21"/>
                <w:u w:val="none"/>
              </w:rPr>
            </w:pPr>
          </w:p>
        </w:tc>
        <w:tc>
          <w:tcPr>
            <w:tcW w:w="70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1"/>
                <w:szCs w:val="21"/>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一级实验室</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二、三、四级实验室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责任体系</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1.1</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院系层面安全责任体系</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二级单位党政负责人作为实验室安全工作主要领导责任人</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w:t>
            </w:r>
            <w:r>
              <w:rPr>
                <w:rStyle w:val="27"/>
                <w:bdr w:val="none" w:color="auto" w:sz="0" w:space="0"/>
                <w:lang w:val="en-US" w:eastAsia="zh-CN" w:bidi="ar"/>
              </w:rPr>
              <w:t>）有带文号的院系文件如党政联席会</w:t>
            </w:r>
            <w:r>
              <w:rPr>
                <w:rStyle w:val="28"/>
                <w:rFonts w:eastAsia="宋体"/>
                <w:bdr w:val="none" w:color="auto" w:sz="0" w:space="0"/>
                <w:lang w:val="en-US" w:eastAsia="zh-CN" w:bidi="ar"/>
              </w:rPr>
              <w:t>/</w:t>
            </w:r>
            <w:r>
              <w:rPr>
                <w:rStyle w:val="27"/>
                <w:bdr w:val="none" w:color="auto" w:sz="0" w:space="0"/>
                <w:lang w:val="en-US" w:eastAsia="zh-CN" w:bidi="ar"/>
              </w:rPr>
              <w:t>办公会等纪要、通知或制度等明确其内容</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成立院系级实验室安全工作领导小组</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w:t>
            </w:r>
            <w:r>
              <w:rPr>
                <w:rStyle w:val="27"/>
                <w:bdr w:val="none" w:color="auto" w:sz="0" w:space="0"/>
                <w:lang w:val="en-US" w:eastAsia="zh-CN" w:bidi="ar"/>
              </w:rPr>
              <w:t>）有带文号的院系文件明确由院系党政主要领导作为负责人，设立分管实验室安全领导、安全助理，有实验室负责人或安全员等代表参与</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建立院系实验室安全责任体系</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3</w:t>
            </w:r>
            <w:r>
              <w:rPr>
                <w:rStyle w:val="27"/>
                <w:bdr w:val="none" w:color="auto" w:sz="0" w:space="0"/>
                <w:lang w:val="en-US" w:eastAsia="zh-CN" w:bidi="ar"/>
              </w:rPr>
              <w:t>）有文件资料或网络档案证明实验室（研究所、中心、教研室及具体实验室等）有安全责任人与安全员</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1.1.4</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有实验室安全责任书</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4</w:t>
            </w:r>
            <w:r>
              <w:rPr>
                <w:rStyle w:val="27"/>
                <w:bdr w:val="none" w:color="auto" w:sz="0" w:space="0"/>
                <w:lang w:val="en-US" w:eastAsia="zh-CN" w:bidi="ar"/>
              </w:rPr>
              <w:t>）按照“学院安全责任人——实验室安全责任人——实验室人员”责任体系，层层签订安全责任书。</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1.2</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经费保障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院系有自筹经费投入实验室安全建设与管理</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5</w:t>
            </w:r>
            <w:r>
              <w:rPr>
                <w:rStyle w:val="27"/>
                <w:bdr w:val="none" w:color="auto" w:sz="0" w:space="0"/>
                <w:lang w:val="en-US" w:eastAsia="zh-CN" w:bidi="ar"/>
              </w:rPr>
              <w:t>）院系有支出凭据证明有专款用于实验室安全工作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1.3</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队伍建设</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i w:val="0"/>
                <w:iCs w:val="0"/>
                <w:color w:val="000000"/>
                <w:sz w:val="22"/>
                <w:szCs w:val="22"/>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有院级实验室安全督查</w:t>
            </w:r>
            <w:r>
              <w:rPr>
                <w:rStyle w:val="28"/>
                <w:rFonts w:eastAsia="宋体"/>
                <w:bdr w:val="none" w:color="auto" w:sz="0" w:space="0"/>
                <w:lang w:val="en-US" w:eastAsia="zh-CN" w:bidi="ar"/>
              </w:rPr>
              <w:t>/</w:t>
            </w:r>
            <w:r>
              <w:rPr>
                <w:rStyle w:val="27"/>
                <w:bdr w:val="none" w:color="auto" w:sz="0" w:space="0"/>
                <w:lang w:val="en-US" w:eastAsia="zh-CN" w:bidi="ar"/>
              </w:rPr>
              <w:t>协查队伍，可以由教师、实验技术人员，也可以利用有相关专业能力的社会力量</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6</w:t>
            </w:r>
            <w:r>
              <w:rPr>
                <w:rStyle w:val="27"/>
                <w:bdr w:val="none" w:color="auto" w:sz="0" w:space="0"/>
                <w:lang w:val="en-US" w:eastAsia="zh-CN" w:bidi="ar"/>
              </w:rPr>
              <w:t>）有院级文件证明学院设立了检查队伍，并有工作记录</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1.3.2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各级主管实验室安全的负责人、管理人员及技术人员到岗一年内须接受实验室安全培训</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7</w:t>
            </w:r>
            <w:r>
              <w:rPr>
                <w:rStyle w:val="27"/>
                <w:bdr w:val="none" w:color="auto" w:sz="0" w:space="0"/>
                <w:lang w:val="en-US" w:eastAsia="zh-CN" w:bidi="ar"/>
              </w:rPr>
              <w:t>）有培训记录（证书、电子文档、书面记录）等证明培训及合格情况</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1.4</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其它</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0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1.4.1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建立实验室安全工作档案</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8</w:t>
            </w:r>
            <w:r>
              <w:rPr>
                <w:rStyle w:val="27"/>
                <w:bdr w:val="none" w:color="auto" w:sz="0" w:space="0"/>
                <w:lang w:val="en-US" w:eastAsia="zh-CN" w:bidi="ar"/>
              </w:rPr>
              <w:t>）包括责任体系、队伍建设、安全制度、奖惩、教育培训、安全检查、隐患整改、事故调查与处理、专业安全、其他相关的常规或阶段性工作归档资料等；档案分类规范合理，便于查找</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2</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规章制度</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2.1</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实验室安全管理制度</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3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2.1.1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有院系级实验安全管理制度</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9</w:t>
            </w:r>
            <w:r>
              <w:rPr>
                <w:rStyle w:val="27"/>
                <w:bdr w:val="none" w:color="auto" w:sz="0" w:space="0"/>
                <w:lang w:val="en-US" w:eastAsia="zh-CN" w:bidi="ar"/>
              </w:rPr>
              <w:t>）建有院系特色的实验室安全管理制度，包含安全检查、风险评估、实验室准入、应急预案、安全培训等内容；制度文件应有院系正式发文，并及时修订更新；文件应具有可操作性或实际管理效用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3</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安全宣传教育</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3.1</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安全教育活动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3.1.1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院系开展专业安全培训活动</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10</w:t>
            </w:r>
            <w:r>
              <w:rPr>
                <w:rStyle w:val="27"/>
                <w:bdr w:val="none" w:color="auto" w:sz="0" w:space="0"/>
                <w:lang w:val="en-US" w:eastAsia="zh-CN" w:bidi="ar"/>
              </w:rPr>
              <w:t>）院系层面每年有档案证明开展了实验室安全教育培训，重点关注外来人员和研究生新生</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3.1.2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开展结合学科特点的应急演练</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11</w:t>
            </w:r>
            <w:r>
              <w:rPr>
                <w:rStyle w:val="27"/>
                <w:bdr w:val="none" w:color="auto" w:sz="0" w:space="0"/>
                <w:lang w:val="en-US" w:eastAsia="zh-CN" w:bidi="ar"/>
              </w:rPr>
              <w:t>）每年有校级的实验室安全事故应急演练</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3.1.3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组织实验室安全知识考试</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12</w:t>
            </w:r>
            <w:r>
              <w:rPr>
                <w:rStyle w:val="27"/>
                <w:bdr w:val="none" w:color="auto" w:sz="0" w:space="0"/>
                <w:lang w:val="en-US" w:eastAsia="zh-CN" w:bidi="ar"/>
              </w:rPr>
              <w:t>）建设有考试系统或考试题库并及时更新，从事实验工作的学生、教职工及外来人员均需参加考试，通过者发放合格证书或保留记录</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3.2</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安全文化</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3.2.1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创新宣传教育形式，加强安全文化建设</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13</w:t>
            </w:r>
            <w:r>
              <w:rPr>
                <w:rStyle w:val="27"/>
                <w:bdr w:val="none" w:color="auto" w:sz="0" w:space="0"/>
                <w:lang w:val="en-US" w:eastAsia="zh-CN" w:bidi="ar"/>
              </w:rPr>
              <w:t>）通过微信公众号、微博、工作简报、文化月、专项整治活动、安全评估、知识竞赛、微电影等方式，加强安全宣传</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4</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安全检查</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4.1</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危险源辨识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4.1.1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院系层面建立危险源分布清单</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14</w:t>
            </w:r>
            <w:r>
              <w:rPr>
                <w:rStyle w:val="27"/>
                <w:bdr w:val="none" w:color="auto" w:sz="0" w:space="0"/>
                <w:lang w:val="en-US" w:eastAsia="zh-CN" w:bidi="ar"/>
              </w:rPr>
              <w:t>）清单内容需包括单位、房间、类别、数量、责任人等信息</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4.1.2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涉及危险源的实验场所，应有明确的警示标识</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15</w:t>
            </w:r>
            <w:r>
              <w:rPr>
                <w:rStyle w:val="27"/>
                <w:bdr w:val="none" w:color="auto" w:sz="0" w:space="0"/>
                <w:lang w:val="en-US" w:eastAsia="zh-CN" w:bidi="ar"/>
              </w:rPr>
              <w:t>）涉及重要危险源（见第</w:t>
            </w:r>
            <w:r>
              <w:rPr>
                <w:rStyle w:val="28"/>
                <w:rFonts w:eastAsia="宋体"/>
                <w:bdr w:val="none" w:color="auto" w:sz="0" w:space="0"/>
                <w:lang w:val="en-US" w:eastAsia="zh-CN" w:bidi="ar"/>
              </w:rPr>
              <w:t>12</w:t>
            </w:r>
            <w:r>
              <w:rPr>
                <w:rStyle w:val="27"/>
                <w:bdr w:val="none" w:color="auto" w:sz="0" w:space="0"/>
                <w:lang w:val="en-US" w:eastAsia="zh-CN" w:bidi="ar"/>
              </w:rPr>
              <w:t>目）的场所，有显著的警示标识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4.1.3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建立针对重要危险源的风险评估和应急管控方案</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16</w:t>
            </w:r>
            <w:r>
              <w:rPr>
                <w:rStyle w:val="27"/>
                <w:bdr w:val="none" w:color="auto" w:sz="0" w:space="0"/>
                <w:lang w:val="en-US" w:eastAsia="zh-CN" w:bidi="ar"/>
              </w:rPr>
              <w:t>）院系、实验室应逐级建立风险分级管控方案</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4.2</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安全检查</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院系层面开展定期检查</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17</w:t>
            </w:r>
            <w:r>
              <w:rPr>
                <w:rStyle w:val="27"/>
                <w:bdr w:val="none" w:color="auto" w:sz="0" w:space="0"/>
                <w:lang w:val="en-US" w:eastAsia="zh-CN" w:bidi="ar"/>
              </w:rPr>
              <w:t>）每月不少于</w:t>
            </w:r>
            <w:r>
              <w:rPr>
                <w:rStyle w:val="28"/>
                <w:rFonts w:eastAsia="宋体"/>
                <w:bdr w:val="none" w:color="auto" w:sz="0" w:space="0"/>
                <w:lang w:val="en-US" w:eastAsia="zh-CN" w:bidi="ar"/>
              </w:rPr>
              <w:t>1</w:t>
            </w:r>
            <w:r>
              <w:rPr>
                <w:rStyle w:val="27"/>
                <w:bdr w:val="none" w:color="auto" w:sz="0" w:space="0"/>
                <w:lang w:val="en-US" w:eastAsia="zh-CN" w:bidi="ar"/>
              </w:rPr>
              <w:t>次，并记录存档</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针对高危实验物品开展专项检查</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18</w:t>
            </w:r>
            <w:r>
              <w:rPr>
                <w:rStyle w:val="27"/>
                <w:bdr w:val="none" w:color="auto" w:sz="0" w:space="0"/>
                <w:lang w:val="en-US" w:eastAsia="zh-CN" w:bidi="ar"/>
              </w:rPr>
              <w:t>）针对重要险源（见第</w:t>
            </w:r>
            <w:r>
              <w:rPr>
                <w:rStyle w:val="28"/>
                <w:rFonts w:eastAsia="宋体"/>
                <w:bdr w:val="none" w:color="auto" w:sz="0" w:space="0"/>
                <w:lang w:val="en-US" w:eastAsia="zh-CN" w:bidi="ar"/>
              </w:rPr>
              <w:t>12</w:t>
            </w:r>
            <w:r>
              <w:rPr>
                <w:rStyle w:val="27"/>
                <w:bdr w:val="none" w:color="auto" w:sz="0" w:space="0"/>
                <w:lang w:val="en-US" w:eastAsia="zh-CN" w:bidi="ar"/>
              </w:rPr>
              <w:t>目），开展定期专项检查</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实验室房间须建立自检自查台账</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19</w:t>
            </w:r>
            <w:r>
              <w:rPr>
                <w:rStyle w:val="27"/>
                <w:bdr w:val="none" w:color="auto" w:sz="0" w:space="0"/>
                <w:lang w:val="en-US" w:eastAsia="zh-CN" w:bidi="ar"/>
              </w:rPr>
              <w:t>）定期检查并留存记录</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4.2.4</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安全检查人员应配备专业的防护和计量用具</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20</w:t>
            </w:r>
            <w:r>
              <w:rPr>
                <w:rStyle w:val="27"/>
                <w:bdr w:val="none" w:color="auto" w:sz="0" w:space="0"/>
                <w:lang w:val="en-US" w:eastAsia="zh-CN" w:bidi="ar"/>
              </w:rPr>
              <w:t>）安全检查人员要佩戴标识、配备照相器具；</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21</w:t>
            </w:r>
            <w:r>
              <w:rPr>
                <w:rStyle w:val="27"/>
                <w:bdr w:val="none" w:color="auto" w:sz="0" w:space="0"/>
                <w:lang w:val="en-US" w:eastAsia="zh-CN" w:bidi="ar"/>
              </w:rPr>
              <w:t>）进入涉及危化品、生物、辐射等实验室要穿戴必要的防护装具；检查辐射场所要佩戴个人辐射剂量计；配备必要的测量、计量用具（手持式</w:t>
            </w:r>
            <w:r>
              <w:rPr>
                <w:rStyle w:val="28"/>
                <w:rFonts w:eastAsia="宋体"/>
                <w:bdr w:val="none" w:color="auto" w:sz="0" w:space="0"/>
                <w:lang w:val="en-US" w:eastAsia="zh-CN" w:bidi="ar"/>
              </w:rPr>
              <w:t>VOC</w:t>
            </w:r>
            <w:r>
              <w:rPr>
                <w:rStyle w:val="27"/>
                <w:bdr w:val="none" w:color="auto" w:sz="0" w:space="0"/>
                <w:lang w:val="en-US" w:eastAsia="zh-CN" w:bidi="ar"/>
              </w:rPr>
              <w:t>检测仪、声级计、风速仪、电笔、万用表等）</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4.3</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安全隐患整改</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4.3.1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检查中发现的问题应以正式形式通知到相关负责人</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22</w:t>
            </w:r>
            <w:r>
              <w:rPr>
                <w:rStyle w:val="27"/>
                <w:bdr w:val="none" w:color="auto" w:sz="0" w:space="0"/>
                <w:lang w:val="en-US" w:eastAsia="zh-CN" w:bidi="ar"/>
              </w:rPr>
              <w:t>）通知的方式包括校网上公告、实验室安全简报、书面或电子的整改通知书等形式</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4.3.2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院系应对问题隐患进行及时整改</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23</w:t>
            </w:r>
            <w:r>
              <w:rPr>
                <w:rStyle w:val="27"/>
                <w:bdr w:val="none" w:color="auto" w:sz="0" w:space="0"/>
                <w:lang w:val="en-US" w:eastAsia="zh-CN" w:bidi="ar"/>
              </w:rPr>
              <w:t>）整改报告应在规定时间内提交学校管理部门；</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24</w:t>
            </w:r>
            <w:r>
              <w:rPr>
                <w:rStyle w:val="27"/>
                <w:bdr w:val="none" w:color="auto" w:sz="0" w:space="0"/>
                <w:lang w:val="en-US" w:eastAsia="zh-CN" w:bidi="ar"/>
              </w:rPr>
              <w:t>）如存在重大隐患，实验室应立即停止实验活动，整改完成或采取相应防护措施后方能恢复实验</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4.4</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安全报告</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4.4.1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院系有安全检查及整改记录</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25</w:t>
            </w:r>
            <w:r>
              <w:rPr>
                <w:rStyle w:val="27"/>
                <w:bdr w:val="none" w:color="auto" w:sz="0" w:space="0"/>
                <w:lang w:val="en-US" w:eastAsia="zh-CN" w:bidi="ar"/>
              </w:rPr>
              <w:t>）存有相关资料或电子文档</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24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按整改率计分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5</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实验场所</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5.1</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场所环境</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5.1.1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实验场所应张贴安全信息牌</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26</w:t>
            </w:r>
            <w:r>
              <w:rPr>
                <w:rStyle w:val="27"/>
                <w:bdr w:val="none" w:color="auto" w:sz="0" w:space="0"/>
                <w:lang w:val="en-US" w:eastAsia="zh-CN" w:bidi="ar"/>
              </w:rPr>
              <w:t>）每个房间门口挂有安全信息牌，信息包括：安全风险点的警示标识、安全责任人、涉及危险类别、防护措施和有效的应急联系电话等，并及时更新</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3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5.1.2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实验场所应具备合理的安全空间布局</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27</w:t>
            </w:r>
            <w:r>
              <w:rPr>
                <w:rStyle w:val="27"/>
                <w:bdr w:val="none" w:color="auto" w:sz="0" w:space="0"/>
                <w:lang w:val="en-US" w:eastAsia="zh-CN" w:bidi="ar"/>
              </w:rPr>
              <w:t>）超过</w:t>
            </w:r>
            <w:r>
              <w:rPr>
                <w:rStyle w:val="28"/>
                <w:rFonts w:eastAsia="宋体"/>
                <w:bdr w:val="none" w:color="auto" w:sz="0" w:space="0"/>
                <w:lang w:val="en-US" w:eastAsia="zh-CN" w:bidi="ar"/>
              </w:rPr>
              <w:t>200</w:t>
            </w:r>
            <w:r>
              <w:rPr>
                <w:rStyle w:val="27"/>
                <w:bdr w:val="none" w:color="auto" w:sz="0" w:space="0"/>
                <w:lang w:val="en-US" w:eastAsia="zh-CN" w:bidi="ar"/>
              </w:rPr>
              <w:t>平方米的实验楼层具有至少两处紧急出口，</w:t>
            </w:r>
            <w:r>
              <w:rPr>
                <w:rStyle w:val="28"/>
                <w:rFonts w:eastAsia="宋体"/>
                <w:bdr w:val="none" w:color="auto" w:sz="0" w:space="0"/>
                <w:lang w:val="en-US" w:eastAsia="zh-CN" w:bidi="ar"/>
              </w:rPr>
              <w:t>75</w:t>
            </w:r>
            <w:r>
              <w:rPr>
                <w:rStyle w:val="27"/>
                <w:bdr w:val="none" w:color="auto" w:sz="0" w:space="0"/>
                <w:lang w:val="en-US" w:eastAsia="zh-CN" w:bidi="ar"/>
              </w:rPr>
              <w:t>平方米以上实验室要有两个出入口；</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28</w:t>
            </w:r>
            <w:r>
              <w:rPr>
                <w:rStyle w:val="27"/>
                <w:bdr w:val="none" w:color="auto" w:sz="0" w:space="0"/>
                <w:lang w:val="en-US" w:eastAsia="zh-CN" w:bidi="ar"/>
              </w:rPr>
              <w:t>）实验楼大走廊保证留有大于</w:t>
            </w:r>
            <w:r>
              <w:rPr>
                <w:rStyle w:val="28"/>
                <w:rFonts w:eastAsia="宋体"/>
                <w:bdr w:val="none" w:color="auto" w:sz="0" w:space="0"/>
                <w:lang w:val="en-US" w:eastAsia="zh-CN" w:bidi="ar"/>
              </w:rPr>
              <w:t>2</w:t>
            </w:r>
            <w:r>
              <w:rPr>
                <w:rStyle w:val="27"/>
                <w:bdr w:val="none" w:color="auto" w:sz="0" w:space="0"/>
                <w:lang w:val="en-US" w:eastAsia="zh-CN" w:bidi="ar"/>
              </w:rPr>
              <w:t>米净宽的消防通道；</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29</w:t>
            </w:r>
            <w:r>
              <w:rPr>
                <w:rStyle w:val="27"/>
                <w:bdr w:val="none" w:color="auto" w:sz="0" w:space="0"/>
                <w:lang w:val="en-US" w:eastAsia="zh-CN" w:bidi="ar"/>
              </w:rPr>
              <w:t>）实验室操作区层高不低于</w:t>
            </w:r>
            <w:r>
              <w:rPr>
                <w:rStyle w:val="28"/>
                <w:rFonts w:eastAsia="宋体"/>
                <w:bdr w:val="none" w:color="auto" w:sz="0" w:space="0"/>
                <w:lang w:val="en-US" w:eastAsia="zh-CN" w:bidi="ar"/>
              </w:rPr>
              <w:t>2</w:t>
            </w:r>
            <w:r>
              <w:rPr>
                <w:rStyle w:val="27"/>
                <w:bdr w:val="none" w:color="auto" w:sz="0" w:space="0"/>
                <w:lang w:val="en-US" w:eastAsia="zh-CN" w:bidi="ar"/>
              </w:rPr>
              <w:t>米；</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30</w:t>
            </w:r>
            <w:r>
              <w:rPr>
                <w:rStyle w:val="27"/>
                <w:bdr w:val="none" w:color="auto" w:sz="0" w:space="0"/>
                <w:lang w:val="en-US" w:eastAsia="zh-CN" w:bidi="ar"/>
              </w:rPr>
              <w:t>）理工农医类实验室内多人同时进行实验时，人均操作面积不小于</w:t>
            </w:r>
            <w:r>
              <w:rPr>
                <w:rStyle w:val="28"/>
                <w:rFonts w:eastAsia="宋体"/>
                <w:bdr w:val="none" w:color="auto" w:sz="0" w:space="0"/>
                <w:lang w:val="en-US" w:eastAsia="zh-CN" w:bidi="ar"/>
              </w:rPr>
              <w:t>2.5</w:t>
            </w:r>
            <w:r>
              <w:rPr>
                <w:rStyle w:val="27"/>
                <w:bdr w:val="none" w:color="auto" w:sz="0" w:space="0"/>
                <w:lang w:val="en-US" w:eastAsia="zh-CN" w:bidi="ar"/>
              </w:rPr>
              <w:t>平方米</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0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5.1.3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实验室消防通道通畅，公共场所不堆放仪器和物品</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31</w:t>
            </w:r>
            <w:r>
              <w:rPr>
                <w:rStyle w:val="27"/>
                <w:bdr w:val="none" w:color="auto" w:sz="0" w:space="0"/>
                <w:lang w:val="en-US" w:eastAsia="zh-CN" w:bidi="ar"/>
              </w:rPr>
              <w:t>）保持消防通道通畅</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5.1.4</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实验室建设和装修应符合消防安全要求</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32</w:t>
            </w:r>
            <w:r>
              <w:rPr>
                <w:rStyle w:val="27"/>
                <w:bdr w:val="none" w:color="auto" w:sz="0" w:space="0"/>
                <w:lang w:val="en-US" w:eastAsia="zh-CN" w:bidi="ar"/>
              </w:rPr>
              <w:t>）实验操作台应选用合格的防火、耐腐蚀材料；</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33</w:t>
            </w:r>
            <w:r>
              <w:rPr>
                <w:rStyle w:val="27"/>
                <w:bdr w:val="none" w:color="auto" w:sz="0" w:space="0"/>
                <w:lang w:val="en-US" w:eastAsia="zh-CN" w:bidi="ar"/>
              </w:rPr>
              <w:t>）仪器设备安装符合建筑物承重载荷；</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34</w:t>
            </w:r>
            <w:r>
              <w:rPr>
                <w:rStyle w:val="27"/>
                <w:bdr w:val="none" w:color="auto" w:sz="0" w:space="0"/>
                <w:lang w:val="en-US" w:eastAsia="zh-CN" w:bidi="ar"/>
              </w:rPr>
              <w:t>）有可燃气体的实验室不设吊顶；</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35</w:t>
            </w:r>
            <w:r>
              <w:rPr>
                <w:rStyle w:val="27"/>
                <w:bdr w:val="none" w:color="auto" w:sz="0" w:space="0"/>
                <w:lang w:val="en-US" w:eastAsia="zh-CN" w:bidi="ar"/>
              </w:rPr>
              <w:t>）不用的配电箱、插座、水管水龙头、网线、气体管路等，应及时拆除或封闭；</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36</w:t>
            </w:r>
            <w:r>
              <w:rPr>
                <w:rStyle w:val="27"/>
                <w:bdr w:val="none" w:color="auto" w:sz="0" w:space="0"/>
                <w:lang w:val="en-US" w:eastAsia="zh-CN" w:bidi="ar"/>
              </w:rPr>
              <w:t>）实验室门上有观察窗，外开门不阻挡逃生路径</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5.1.5</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实验室所有房间均须配有应急备用钥匙</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37</w:t>
            </w:r>
            <w:r>
              <w:rPr>
                <w:rStyle w:val="27"/>
                <w:bdr w:val="none" w:color="auto" w:sz="0" w:space="0"/>
                <w:lang w:val="en-US" w:eastAsia="zh-CN" w:bidi="ar"/>
              </w:rPr>
              <w:t>）应急备用钥匙需集中存放、统一管理，应急时方便取用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5.1.6</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实验设备需做好振动减震、电磁屏蔽和噪音降噪</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38</w:t>
            </w:r>
            <w:r>
              <w:rPr>
                <w:rStyle w:val="27"/>
                <w:bdr w:val="none" w:color="auto" w:sz="0" w:space="0"/>
                <w:lang w:val="en-US" w:eastAsia="zh-CN" w:bidi="ar"/>
              </w:rPr>
              <w:t>）容易产生振动的设备，需考虑建立合理的减震措施；</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39</w:t>
            </w:r>
            <w:r>
              <w:rPr>
                <w:rStyle w:val="27"/>
                <w:bdr w:val="none" w:color="auto" w:sz="0" w:space="0"/>
                <w:lang w:val="en-US" w:eastAsia="zh-CN" w:bidi="ar"/>
              </w:rPr>
              <w:t>）易对外产生磁场或易受磁场干扰的设备，需做好磁屏蔽；</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40</w:t>
            </w:r>
            <w:r>
              <w:rPr>
                <w:rStyle w:val="27"/>
                <w:bdr w:val="none" w:color="auto" w:sz="0" w:space="0"/>
                <w:lang w:val="en-US" w:eastAsia="zh-CN" w:bidi="ar"/>
              </w:rPr>
              <w:t>）实验室噪声一般不高于</w:t>
            </w:r>
            <w:r>
              <w:rPr>
                <w:rStyle w:val="28"/>
                <w:rFonts w:eastAsia="宋体"/>
                <w:bdr w:val="none" w:color="auto" w:sz="0" w:space="0"/>
                <w:lang w:val="en-US" w:eastAsia="zh-CN" w:bidi="ar"/>
              </w:rPr>
              <w:t>55</w:t>
            </w:r>
            <w:r>
              <w:rPr>
                <w:rStyle w:val="27"/>
                <w:bdr w:val="none" w:color="auto" w:sz="0" w:space="0"/>
                <w:lang w:val="en-US" w:eastAsia="zh-CN" w:bidi="ar"/>
              </w:rPr>
              <w:t>分贝（机械设备不高于</w:t>
            </w:r>
            <w:r>
              <w:rPr>
                <w:rStyle w:val="28"/>
                <w:rFonts w:eastAsia="宋体"/>
                <w:bdr w:val="none" w:color="auto" w:sz="0" w:space="0"/>
                <w:lang w:val="en-US" w:eastAsia="zh-CN" w:bidi="ar"/>
              </w:rPr>
              <w:t>70</w:t>
            </w:r>
            <w:r>
              <w:rPr>
                <w:rStyle w:val="27"/>
                <w:bdr w:val="none" w:color="auto" w:sz="0" w:space="0"/>
                <w:lang w:val="en-US" w:eastAsia="zh-CN" w:bidi="ar"/>
              </w:rPr>
              <w:t>分贝）</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5.1.7</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实验室水、电、气管线布局合理，安装施工规范</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41</w:t>
            </w:r>
            <w:r>
              <w:rPr>
                <w:rStyle w:val="27"/>
                <w:bdr w:val="none" w:color="auto" w:sz="0" w:space="0"/>
                <w:lang w:val="en-US" w:eastAsia="zh-CN" w:bidi="ar"/>
              </w:rPr>
              <w:t>）采用管道供气的实验室，输气管道及阀门无漏气现象，并有明确标识；供气管道有名称和气体流向标识，无破损；高温、明火设备放置位置与气体管道有安全间隔距离</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5.2</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卫生与日常管理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5.2.1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实验室分区应相对独立，布局合理</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42</w:t>
            </w:r>
            <w:r>
              <w:rPr>
                <w:rStyle w:val="27"/>
                <w:bdr w:val="none" w:color="auto" w:sz="0" w:space="0"/>
                <w:lang w:val="en-US" w:eastAsia="zh-CN" w:bidi="ar"/>
              </w:rPr>
              <w:t>）有毒有害实验区与学习区明确分开，合理布局，重点关注化学、生物、辐射、激光等类别实验室。如部分区域分区不明显，现场查看有毒有害物质的管理须对工作环境无健康危害</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5.2.2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实验室环境应整洁卫生有序</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43</w:t>
            </w:r>
            <w:r>
              <w:rPr>
                <w:rStyle w:val="27"/>
                <w:bdr w:val="none" w:color="auto" w:sz="0" w:space="0"/>
                <w:lang w:val="en-US" w:eastAsia="zh-CN" w:bidi="ar"/>
              </w:rPr>
              <w:t>）实验室物品摆放有序，卫生状况良好，实验完毕物品归位，无废弃物品、不放无关物品；</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44</w:t>
            </w:r>
            <w:r>
              <w:rPr>
                <w:rStyle w:val="27"/>
                <w:bdr w:val="none" w:color="auto" w:sz="0" w:space="0"/>
                <w:lang w:val="en-US" w:eastAsia="zh-CN" w:bidi="ar"/>
              </w:rPr>
              <w:t>）不在实验室睡觉过夜，不存放和烧煮食物、饮食，禁止吸烟、不使用可燃性蚊香</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5.2.3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实验室有卫生安全制度</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45</w:t>
            </w:r>
            <w:r>
              <w:rPr>
                <w:rStyle w:val="27"/>
                <w:bdr w:val="none" w:color="auto" w:sz="0" w:space="0"/>
                <w:lang w:val="en-US" w:eastAsia="zh-CN" w:bidi="ar"/>
              </w:rPr>
              <w:t>）实验期间有记录</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5.3</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场所其它安全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5.3.1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每间实验室均有编号并登记造册</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46</w:t>
            </w:r>
            <w:r>
              <w:rPr>
                <w:rStyle w:val="27"/>
                <w:bdr w:val="none" w:color="auto" w:sz="0" w:space="0"/>
                <w:lang w:val="en-US" w:eastAsia="zh-CN" w:bidi="ar"/>
              </w:rPr>
              <w:t>）查看现场</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5.3.2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危险性实验室应配备急救物品</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47</w:t>
            </w:r>
            <w:r>
              <w:rPr>
                <w:rStyle w:val="27"/>
                <w:bdr w:val="none" w:color="auto" w:sz="0" w:space="0"/>
                <w:lang w:val="en-US" w:eastAsia="zh-CN" w:bidi="ar"/>
              </w:rPr>
              <w:t>）配备的药箱不上锁，并定期检查药品是否在保质期内</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5.3.3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废弃的实验室有安全防范措施和明显标识</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48</w:t>
            </w:r>
            <w:r>
              <w:rPr>
                <w:rStyle w:val="27"/>
                <w:bdr w:val="none" w:color="auto" w:sz="0" w:space="0"/>
                <w:lang w:val="en-US" w:eastAsia="zh-CN" w:bidi="ar"/>
              </w:rPr>
              <w:t>）查看现场</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6</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安全设施</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6.1</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消防设施</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实验室应配备合适的灭火设备，并定期开展使用训练</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49</w:t>
            </w:r>
            <w:r>
              <w:rPr>
                <w:rStyle w:val="27"/>
                <w:bdr w:val="none" w:color="auto" w:sz="0" w:space="0"/>
                <w:lang w:val="en-US" w:eastAsia="zh-CN" w:bidi="ar"/>
              </w:rPr>
              <w:t>）烟感报警器、灭火器、灭火毯、消防沙、消防喷淋等，应正常有效、方便取用；</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50</w:t>
            </w:r>
            <w:r>
              <w:rPr>
                <w:rStyle w:val="27"/>
                <w:bdr w:val="none" w:color="auto" w:sz="0" w:space="0"/>
                <w:lang w:val="en-US" w:eastAsia="zh-CN" w:bidi="ar"/>
              </w:rPr>
              <w:t>）灭火器种类配置正确；灭火器在有效期内（压力指针位置正常等），安全销（拉针）正常，瓶身无破损、腐蚀</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6.1.2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紧急逃生疏散路线通畅</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51</w:t>
            </w:r>
            <w:r>
              <w:rPr>
                <w:rStyle w:val="27"/>
                <w:bdr w:val="none" w:color="auto" w:sz="0" w:space="0"/>
                <w:lang w:val="en-US" w:eastAsia="zh-CN" w:bidi="ar"/>
              </w:rPr>
              <w:t>）在显著位置张贴有紧急逃生疏散路线图，疏散路线图的逃生路线应有二条（含）以上；路线与现场情况符合；</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52</w:t>
            </w:r>
            <w:r>
              <w:rPr>
                <w:rStyle w:val="27"/>
                <w:bdr w:val="none" w:color="auto" w:sz="0" w:space="0"/>
                <w:lang w:val="en-US" w:eastAsia="zh-CN" w:bidi="ar"/>
              </w:rPr>
              <w:t>）主要逃生路径（室内、楼梯、通道和出口处）有足够的紧急照明灯，功能正常，并设置有效标识指示逃生方向；</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53</w:t>
            </w:r>
            <w:r>
              <w:rPr>
                <w:rStyle w:val="27"/>
                <w:bdr w:val="none" w:color="auto" w:sz="0" w:space="0"/>
                <w:lang w:val="en-US" w:eastAsia="zh-CN" w:bidi="ar"/>
              </w:rPr>
              <w:t>）人员应熟悉紧急疏散路线及火场逃生注意事项（现场调查人员熟悉程度）</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6.2</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应急喷淋与洗眼装置</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6.2.1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存在燃烧和腐蚀风险的实验区域，需配置应急喷淋和洗眼装置</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54</w:t>
            </w:r>
            <w:r>
              <w:rPr>
                <w:rStyle w:val="27"/>
                <w:bdr w:val="none" w:color="auto" w:sz="0" w:space="0"/>
                <w:lang w:val="en-US" w:eastAsia="zh-CN" w:bidi="ar"/>
              </w:rPr>
              <w:t>）应急喷淋和洗眼装置的区域有显著标识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6.2.2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应急喷淋与洗眼装置安装合理，并能正常使用</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55</w:t>
            </w:r>
            <w:r>
              <w:rPr>
                <w:rStyle w:val="27"/>
                <w:bdr w:val="none" w:color="auto" w:sz="0" w:space="0"/>
                <w:lang w:val="en-US" w:eastAsia="zh-CN" w:bidi="ar"/>
              </w:rPr>
              <w:t>）应急喷淋安装地点与工作区域之间畅通，距离不超过</w:t>
            </w:r>
            <w:r>
              <w:rPr>
                <w:rStyle w:val="28"/>
                <w:rFonts w:eastAsia="宋体"/>
                <w:bdr w:val="none" w:color="auto" w:sz="0" w:space="0"/>
                <w:lang w:val="en-US" w:eastAsia="zh-CN" w:bidi="ar"/>
              </w:rPr>
              <w:t xml:space="preserve"> 30 </w:t>
            </w:r>
            <w:r>
              <w:rPr>
                <w:rStyle w:val="27"/>
                <w:bdr w:val="none" w:color="auto" w:sz="0" w:space="0"/>
                <w:lang w:val="en-US" w:eastAsia="zh-CN" w:bidi="ar"/>
              </w:rPr>
              <w:t>米。应急喷淋安装位置合适，拉杆位置合适、方向正确。应急喷淋装置水管总阀为常开状，喷淋头下方无障碍物；</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56</w:t>
            </w:r>
            <w:r>
              <w:rPr>
                <w:rStyle w:val="27"/>
                <w:bdr w:val="none" w:color="auto" w:sz="0" w:space="0"/>
                <w:lang w:val="en-US" w:eastAsia="zh-CN" w:bidi="ar"/>
              </w:rPr>
              <w:t>）不能以普通淋浴装置代替应急喷淋装置；</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57</w:t>
            </w:r>
            <w:r>
              <w:rPr>
                <w:rStyle w:val="27"/>
                <w:bdr w:val="none" w:color="auto" w:sz="0" w:space="0"/>
                <w:lang w:val="en-US" w:eastAsia="zh-CN" w:bidi="ar"/>
              </w:rPr>
              <w:t>）洗眼装置接入生活用水管道，水量水压适中（喷出高度</w:t>
            </w:r>
            <w:r>
              <w:rPr>
                <w:rStyle w:val="28"/>
                <w:rFonts w:eastAsia="宋体"/>
                <w:bdr w:val="none" w:color="auto" w:sz="0" w:space="0"/>
                <w:lang w:val="en-US" w:eastAsia="zh-CN" w:bidi="ar"/>
              </w:rPr>
              <w:t xml:space="preserve"> 8-10 </w:t>
            </w:r>
            <w:r>
              <w:rPr>
                <w:rStyle w:val="27"/>
                <w:bdr w:val="none" w:color="auto" w:sz="0" w:space="0"/>
                <w:lang w:val="en-US" w:eastAsia="zh-CN" w:bidi="ar"/>
              </w:rPr>
              <w:t>厘米），水流畅通平稳</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6.2.3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定期对应急喷淋与洗眼装置进行维护</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58</w:t>
            </w:r>
            <w:r>
              <w:rPr>
                <w:rStyle w:val="27"/>
                <w:bdr w:val="none" w:color="auto" w:sz="0" w:space="0"/>
                <w:lang w:val="en-US" w:eastAsia="zh-CN" w:bidi="ar"/>
              </w:rPr>
              <w:t>）经常擦拭洗眼喷头，无锈水脏水，有检查记录（每月启动一次阀门，时刻保证管内流水畅通）</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6.3</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通风系统</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6.3.1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有需要的实验场所配备符合设计规范的通风系统</w:t>
            </w:r>
          </w:p>
        </w:tc>
        <w:tc>
          <w:tcPr>
            <w:tcW w:w="700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59</w:t>
            </w:r>
            <w:r>
              <w:rPr>
                <w:rStyle w:val="27"/>
                <w:bdr w:val="none" w:color="auto" w:sz="0" w:space="0"/>
                <w:lang w:val="en-US" w:eastAsia="zh-CN" w:bidi="ar"/>
              </w:rPr>
              <w:t>）管道风机需防腐，使用可燃气体场所宜采用防爆风机；</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60</w:t>
            </w:r>
            <w:r>
              <w:rPr>
                <w:rStyle w:val="27"/>
                <w:bdr w:val="none" w:color="auto" w:sz="0" w:space="0"/>
                <w:lang w:val="en-US" w:eastAsia="zh-CN" w:bidi="ar"/>
              </w:rPr>
              <w:t>）实验室通风系统运行正常，柜口面风速</w:t>
            </w:r>
            <w:r>
              <w:rPr>
                <w:rStyle w:val="28"/>
                <w:rFonts w:eastAsia="宋体"/>
                <w:bdr w:val="none" w:color="auto" w:sz="0" w:space="0"/>
                <w:lang w:val="en-US" w:eastAsia="zh-CN" w:bidi="ar"/>
              </w:rPr>
              <w:t xml:space="preserve"> 0.35~0.75 </w:t>
            </w:r>
            <w:r>
              <w:rPr>
                <w:rStyle w:val="27"/>
                <w:bdr w:val="none" w:color="auto" w:sz="0" w:space="0"/>
                <w:lang w:val="en-US" w:eastAsia="zh-CN" w:bidi="ar"/>
              </w:rPr>
              <w:t>米</w:t>
            </w:r>
            <w:r>
              <w:rPr>
                <w:rStyle w:val="28"/>
                <w:rFonts w:eastAsia="宋体"/>
                <w:bdr w:val="none" w:color="auto" w:sz="0" w:space="0"/>
                <w:lang w:val="en-US" w:eastAsia="zh-CN" w:bidi="ar"/>
              </w:rPr>
              <w:t>/</w:t>
            </w:r>
            <w:r>
              <w:rPr>
                <w:rStyle w:val="27"/>
                <w:bdr w:val="none" w:color="auto" w:sz="0" w:space="0"/>
                <w:lang w:val="en-US" w:eastAsia="zh-CN" w:bidi="ar"/>
              </w:rPr>
              <w:t>秒，定期进行维护、检修；</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61</w:t>
            </w:r>
            <w:r>
              <w:rPr>
                <w:rStyle w:val="27"/>
                <w:bdr w:val="none" w:color="auto" w:sz="0" w:space="0"/>
                <w:lang w:val="en-US" w:eastAsia="zh-CN" w:bidi="ar"/>
              </w:rPr>
              <w:t>）屋顶风机固定无松动、无异常噪声</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6.3.2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通风柜配置合理、使用正常、操作合规</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62</w:t>
            </w:r>
            <w:r>
              <w:rPr>
                <w:rStyle w:val="27"/>
                <w:bdr w:val="none" w:color="auto" w:sz="0" w:space="0"/>
                <w:lang w:val="en-US" w:eastAsia="zh-CN" w:bidi="ar"/>
              </w:rPr>
              <w:t>）实验室排出的有害物质浓度超过国家现行标准规定的允许排放标准时，应采取净化措施，做到达标排放；</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63</w:t>
            </w:r>
            <w:r>
              <w:rPr>
                <w:rStyle w:val="27"/>
                <w:bdr w:val="none" w:color="auto" w:sz="0" w:space="0"/>
                <w:lang w:val="en-US" w:eastAsia="zh-CN" w:bidi="ar"/>
              </w:rPr>
              <w:t>）任何可能产生高浓度有害气体而导致个人曝露、或产生可燃、可爆炸气体或蒸汽而导致积聚的实验，都应在通风柜内进行；</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64</w:t>
            </w:r>
            <w:r>
              <w:rPr>
                <w:rStyle w:val="27"/>
                <w:bdr w:val="none" w:color="auto" w:sz="0" w:space="0"/>
                <w:lang w:val="en-US" w:eastAsia="zh-CN" w:bidi="ar"/>
              </w:rPr>
              <w:t>）进行实验时，通风柜可调玻璃视窗开至离台面</w:t>
            </w:r>
            <w:r>
              <w:rPr>
                <w:rStyle w:val="28"/>
                <w:rFonts w:eastAsia="宋体"/>
                <w:bdr w:val="none" w:color="auto" w:sz="0" w:space="0"/>
                <w:lang w:val="en-US" w:eastAsia="zh-CN" w:bidi="ar"/>
              </w:rPr>
              <w:t xml:space="preserve"> 10—15 </w:t>
            </w:r>
            <w:r>
              <w:rPr>
                <w:rStyle w:val="27"/>
                <w:bdr w:val="none" w:color="auto" w:sz="0" w:space="0"/>
                <w:lang w:val="en-US" w:eastAsia="zh-CN" w:bidi="ar"/>
              </w:rPr>
              <w:t>厘米，保持通风效果，并保护操作人员胸部以上部位；</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65</w:t>
            </w:r>
            <w:r>
              <w:rPr>
                <w:rStyle w:val="27"/>
                <w:bdr w:val="none" w:color="auto" w:sz="0" w:space="0"/>
                <w:lang w:val="en-US" w:eastAsia="zh-CN" w:bidi="ar"/>
              </w:rPr>
              <w:t>）实验人员在通风柜进行实验时，避免将头伸入调节门内。不可将一次性手套或较轻的塑料袋等留在通风柜内，以免堵塞排风口；</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66</w:t>
            </w:r>
            <w:r>
              <w:rPr>
                <w:rStyle w:val="27"/>
                <w:bdr w:val="none" w:color="auto" w:sz="0" w:space="0"/>
                <w:lang w:val="en-US" w:eastAsia="zh-CN" w:bidi="ar"/>
              </w:rPr>
              <w:t>）通风柜内放置物品应距离调节门内侧</w:t>
            </w:r>
            <w:r>
              <w:rPr>
                <w:rStyle w:val="28"/>
                <w:rFonts w:eastAsia="宋体"/>
                <w:bdr w:val="none" w:color="auto" w:sz="0" w:space="0"/>
                <w:lang w:val="en-US" w:eastAsia="zh-CN" w:bidi="ar"/>
              </w:rPr>
              <w:t xml:space="preserve"> 15 </w:t>
            </w:r>
            <w:r>
              <w:rPr>
                <w:rStyle w:val="27"/>
                <w:bdr w:val="none" w:color="auto" w:sz="0" w:space="0"/>
                <w:lang w:val="en-US" w:eastAsia="zh-CN" w:bidi="ar"/>
              </w:rPr>
              <w:t>厘米以上，以免掉落；</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67</w:t>
            </w:r>
            <w:r>
              <w:rPr>
                <w:rStyle w:val="27"/>
                <w:bdr w:val="none" w:color="auto" w:sz="0" w:space="0"/>
                <w:lang w:val="en-US" w:eastAsia="zh-CN" w:bidi="ar"/>
              </w:rPr>
              <w:t>）玻璃视窗材料应是钢化玻璃</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6.4</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门禁监控</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重点场所需安装门禁和监控设施，并有专人管理</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68</w:t>
            </w:r>
            <w:r>
              <w:rPr>
                <w:rStyle w:val="27"/>
                <w:bdr w:val="none" w:color="auto" w:sz="0" w:space="0"/>
                <w:lang w:val="en-US" w:eastAsia="zh-CN" w:bidi="ar"/>
              </w:rPr>
              <w:t>）关注重点场所，如剧毒品、病原微生物、放射源存放点、核材料等危险源的管理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6.4.2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门禁和监控系统运转正常，与实验室准入制度相匹配</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69</w:t>
            </w:r>
            <w:r>
              <w:rPr>
                <w:rStyle w:val="27"/>
                <w:bdr w:val="none" w:color="auto" w:sz="0" w:space="0"/>
                <w:lang w:val="en-US" w:eastAsia="zh-CN" w:bidi="ar"/>
              </w:rPr>
              <w:t>）监控不留死角，图像清晰，人员出入记录可查，视频记录存储时间不少于</w:t>
            </w:r>
            <w:r>
              <w:rPr>
                <w:rStyle w:val="28"/>
                <w:rFonts w:eastAsia="宋体"/>
                <w:bdr w:val="none" w:color="auto" w:sz="0" w:space="0"/>
                <w:lang w:val="en-US" w:eastAsia="zh-CN" w:bidi="ar"/>
              </w:rPr>
              <w:t>30</w:t>
            </w:r>
            <w:r>
              <w:rPr>
                <w:rStyle w:val="27"/>
                <w:bdr w:val="none" w:color="auto" w:sz="0" w:space="0"/>
                <w:lang w:val="en-US" w:eastAsia="zh-CN" w:bidi="ar"/>
              </w:rPr>
              <w:t>天；</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70</w:t>
            </w:r>
            <w:r>
              <w:rPr>
                <w:rStyle w:val="27"/>
                <w:bdr w:val="none" w:color="auto" w:sz="0" w:space="0"/>
                <w:lang w:val="en-US" w:eastAsia="zh-CN" w:bidi="ar"/>
              </w:rPr>
              <w:t>）停电时，电子门禁系统应是开启状态或者有备用机械钥匙</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6.5</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实验室防爆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0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6.5.1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有防爆需求的实验室需符合防爆设计要求</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71</w:t>
            </w:r>
            <w:r>
              <w:rPr>
                <w:rStyle w:val="27"/>
                <w:bdr w:val="none" w:color="auto" w:sz="0" w:space="0"/>
                <w:lang w:val="en-US" w:eastAsia="zh-CN" w:bidi="ar"/>
              </w:rPr>
              <w:t>）安装有防爆开关、防爆灯等，安装必要的气体报警系统、监控系统、应急系统等；</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72</w:t>
            </w:r>
            <w:r>
              <w:rPr>
                <w:rStyle w:val="27"/>
                <w:bdr w:val="none" w:color="auto" w:sz="0" w:space="0"/>
                <w:lang w:val="en-US" w:eastAsia="zh-CN" w:bidi="ar"/>
              </w:rPr>
              <w:t>）对于产生可燃气体或蒸汽的装置，应在其进、出口处安装阻火器；</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73</w:t>
            </w:r>
            <w:r>
              <w:rPr>
                <w:rStyle w:val="27"/>
                <w:bdr w:val="none" w:color="auto" w:sz="0" w:space="0"/>
                <w:lang w:val="en-US" w:eastAsia="zh-CN" w:bidi="ar"/>
              </w:rPr>
              <w:t>）室内应加强通风，防止爆炸物聚积</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6.5.2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应妥善防护具有爆炸危险性的仪器设备</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74</w:t>
            </w:r>
            <w:r>
              <w:rPr>
                <w:rStyle w:val="27"/>
                <w:bdr w:val="none" w:color="auto" w:sz="0" w:space="0"/>
                <w:lang w:val="en-US" w:eastAsia="zh-CN" w:bidi="ar"/>
              </w:rPr>
              <w:t>）使用合适的安全罩防护</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7</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基础安全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7.1</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用电用水基础安全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7.1.1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实验室用电安全应符合国家标准（导则）和行业标准</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75</w:t>
            </w:r>
            <w:r>
              <w:rPr>
                <w:rStyle w:val="27"/>
                <w:bdr w:val="none" w:color="auto" w:sz="0" w:space="0"/>
                <w:lang w:val="en-US" w:eastAsia="zh-CN" w:bidi="ar"/>
              </w:rPr>
              <w:t>）实验室电容量、插头插座与用电设备功率需匹配，不得私自改装；</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76</w:t>
            </w:r>
            <w:r>
              <w:rPr>
                <w:rStyle w:val="27"/>
                <w:bdr w:val="none" w:color="auto" w:sz="0" w:space="0"/>
                <w:lang w:val="en-US" w:eastAsia="zh-CN" w:bidi="ar"/>
              </w:rPr>
              <w:t>）电源插座须有效固定；</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77</w:t>
            </w:r>
            <w:r>
              <w:rPr>
                <w:rStyle w:val="27"/>
                <w:bdr w:val="none" w:color="auto" w:sz="0" w:space="0"/>
                <w:lang w:val="en-US" w:eastAsia="zh-CN" w:bidi="ar"/>
              </w:rPr>
              <w:t>）电气设备应配备空气开关和漏电保护器；</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78</w:t>
            </w:r>
            <w:r>
              <w:rPr>
                <w:rStyle w:val="27"/>
                <w:bdr w:val="none" w:color="auto" w:sz="0" w:space="0"/>
                <w:lang w:val="en-US" w:eastAsia="zh-CN" w:bidi="ar"/>
              </w:rPr>
              <w:t>）不私自乱拉乱接电线电缆，禁止多个接线板串接供电，接线板不宜直接置于地面；</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79</w:t>
            </w:r>
            <w:r>
              <w:rPr>
                <w:rStyle w:val="27"/>
                <w:bdr w:val="none" w:color="auto" w:sz="0" w:space="0"/>
                <w:lang w:val="en-US" w:eastAsia="zh-CN" w:bidi="ar"/>
              </w:rPr>
              <w:t>）禁止使用老化的线缆、花线、木质配电板、有破损的接线板，电线接头绝缘可靠，无裸露连接线，穿越通道的线缆应有盖板或护套，不使用老国标接线板；</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80</w:t>
            </w:r>
            <w:r>
              <w:rPr>
                <w:rStyle w:val="27"/>
                <w:bdr w:val="none" w:color="auto" w:sz="0" w:space="0"/>
                <w:lang w:val="en-US" w:eastAsia="zh-CN" w:bidi="ar"/>
              </w:rPr>
              <w:t>）大功率仪器（包括空调等）使用专用插座（不可使用接线板）；</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81</w:t>
            </w:r>
            <w:r>
              <w:rPr>
                <w:rStyle w:val="27"/>
                <w:bdr w:val="none" w:color="auto" w:sz="0" w:space="0"/>
                <w:lang w:val="en-US" w:eastAsia="zh-CN" w:bidi="ar"/>
              </w:rPr>
              <w:t>）电器长期不用时，应切断电源；</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82</w:t>
            </w:r>
            <w:r>
              <w:rPr>
                <w:rStyle w:val="27"/>
                <w:bdr w:val="none" w:color="auto" w:sz="0" w:space="0"/>
                <w:lang w:val="en-US" w:eastAsia="zh-CN" w:bidi="ar"/>
              </w:rPr>
              <w:t>）配电箱前不应有物品遮挡并便于操作，周围不应放置烘箱、电炉、易燃易爆气瓶、废液桶等；配电箱的金属箱体应与箱内保护零线或保护地线可靠连接</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7.1.2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给水、排水系统布置合理，运行正常</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83</w:t>
            </w:r>
            <w:r>
              <w:rPr>
                <w:rStyle w:val="27"/>
                <w:bdr w:val="none" w:color="auto" w:sz="0" w:space="0"/>
                <w:lang w:val="en-US" w:eastAsia="zh-CN" w:bidi="ar"/>
              </w:rPr>
              <w:t>）水槽、地漏及下水道畅通，水龙头、上下水管无破损；</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84</w:t>
            </w:r>
            <w:r>
              <w:rPr>
                <w:rStyle w:val="27"/>
                <w:bdr w:val="none" w:color="auto" w:sz="0" w:space="0"/>
                <w:lang w:val="en-US" w:eastAsia="zh-CN" w:bidi="ar"/>
              </w:rPr>
              <w:t>）各类连接管无老化破损（特别是冷却冷凝系统的橡胶管接口处）；</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85</w:t>
            </w:r>
            <w:r>
              <w:rPr>
                <w:rStyle w:val="27"/>
                <w:bdr w:val="none" w:color="auto" w:sz="0" w:space="0"/>
                <w:lang w:val="en-US" w:eastAsia="zh-CN" w:bidi="ar"/>
              </w:rPr>
              <w:t>）各楼层及实验室的各级水管总阀需有明显的标识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7.2</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个人防护</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7.2.1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实验人员需配备合适的个人防护用品</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86</w:t>
            </w:r>
            <w:r>
              <w:rPr>
                <w:rStyle w:val="27"/>
                <w:bdr w:val="none" w:color="auto" w:sz="0" w:space="0"/>
                <w:lang w:val="en-US" w:eastAsia="zh-CN" w:bidi="ar"/>
              </w:rPr>
              <w:t>）进入实验室人员需穿着质地合适的实验服或防护服；</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87</w:t>
            </w:r>
            <w:r>
              <w:rPr>
                <w:rStyle w:val="27"/>
                <w:bdr w:val="none" w:color="auto" w:sz="0" w:space="0"/>
                <w:lang w:val="en-US" w:eastAsia="zh-CN" w:bidi="ar"/>
              </w:rPr>
              <w:t>）按需要佩戴防护眼镜、防护手套、安全帽、防护帽、呼吸器或面罩（呼吸器或面罩在有效期内，不用时须密封放置）等；</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88</w:t>
            </w:r>
            <w:r>
              <w:rPr>
                <w:rStyle w:val="27"/>
                <w:bdr w:val="none" w:color="auto" w:sz="0" w:space="0"/>
                <w:lang w:val="en-US" w:eastAsia="zh-CN" w:bidi="ar"/>
              </w:rPr>
              <w:t>）进行化学、生物安全和高温实验时，不得佩戴隐形眼镜；</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89</w:t>
            </w:r>
            <w:r>
              <w:rPr>
                <w:rStyle w:val="27"/>
                <w:bdr w:val="none" w:color="auto" w:sz="0" w:space="0"/>
                <w:lang w:val="en-US" w:eastAsia="zh-CN" w:bidi="ar"/>
              </w:rPr>
              <w:t>）操作机床等旋转设备时，不得穿戴长围巾、丝巾、领带等，长发需盘在工作帽内；</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90</w:t>
            </w:r>
            <w:r>
              <w:rPr>
                <w:rStyle w:val="27"/>
                <w:bdr w:val="none" w:color="auto" w:sz="0" w:space="0"/>
                <w:lang w:val="en-US" w:eastAsia="zh-CN" w:bidi="ar"/>
              </w:rPr>
              <w:t>）穿着化学、生物类实验服或戴实验手套，不得随意进入非实验区</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7.2.2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个人防护用品分散存放，存放地点有明显标识</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91</w:t>
            </w:r>
            <w:r>
              <w:rPr>
                <w:rStyle w:val="27"/>
                <w:bdr w:val="none" w:color="auto" w:sz="0" w:space="0"/>
                <w:lang w:val="en-US" w:eastAsia="zh-CN" w:bidi="ar"/>
              </w:rPr>
              <w:t>）在紧急情况需使用的防化服等个人防护器具应分散存放在安全场所，以便于取用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7.2.3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各类个人防护用品的使用有培训及定期检查维护记录</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92</w:t>
            </w:r>
            <w:r>
              <w:rPr>
                <w:rStyle w:val="27"/>
                <w:bdr w:val="none" w:color="auto" w:sz="0" w:space="0"/>
                <w:lang w:val="en-US" w:eastAsia="zh-CN" w:bidi="ar"/>
              </w:rPr>
              <w:t>）检查培训及维护记录</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7.3</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其他</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7.3.1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实验台面整洁、实验记录规范</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93</w:t>
            </w:r>
            <w:r>
              <w:rPr>
                <w:rStyle w:val="27"/>
                <w:bdr w:val="none" w:color="auto" w:sz="0" w:space="0"/>
                <w:lang w:val="en-US" w:eastAsia="zh-CN" w:bidi="ar"/>
              </w:rPr>
              <w:t>）查看实验台面和实验记录</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7.3.2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危险性实验（如高温、高压、高速运转等）时必须有两人在场</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（94）实验时不能脱岗，通宵实验须两人在场并有事先审批制度</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8</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化学安全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8.1</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危险化学品购置</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危险化学品采购需要符合要求</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95</w:t>
            </w:r>
            <w:r>
              <w:rPr>
                <w:rStyle w:val="27"/>
                <w:bdr w:val="none" w:color="auto" w:sz="0" w:space="0"/>
                <w:lang w:val="en-US" w:eastAsia="zh-CN" w:bidi="ar"/>
              </w:rPr>
              <w:t>）危险化学品须向具有生产经营许可资质的单位进行购买，查看相关供应商的经营许可资质证书复印件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剧毒品、易制毒品、易制爆品、爆炸品的购买程序合规</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96</w:t>
            </w:r>
            <w:r>
              <w:rPr>
                <w:rStyle w:val="27"/>
                <w:bdr w:val="none" w:color="auto" w:sz="0" w:space="0"/>
                <w:lang w:val="en-US" w:eastAsia="zh-CN" w:bidi="ar"/>
              </w:rPr>
              <w:t>）购买前须经学校审批，报公安部门批准或备案后，向具有经营许可资质的单位购买，并保留报批及审批记录；</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97</w:t>
            </w:r>
            <w:r>
              <w:rPr>
                <w:rStyle w:val="27"/>
                <w:bdr w:val="none" w:color="auto" w:sz="0" w:space="0"/>
                <w:lang w:val="en-US" w:eastAsia="zh-CN" w:bidi="ar"/>
              </w:rPr>
              <w:t>）建立购买、验收、使用等台账资料；</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98</w:t>
            </w:r>
            <w:r>
              <w:rPr>
                <w:rStyle w:val="27"/>
                <w:bdr w:val="none" w:color="auto" w:sz="0" w:space="0"/>
                <w:lang w:val="en-US" w:eastAsia="zh-CN" w:bidi="ar"/>
              </w:rPr>
              <w:t>）不得私自从外单位获取管制化学品</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重大</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麻醉药品、精神药品等购买前须向食品药品监督管理部门申请</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99</w:t>
            </w:r>
            <w:r>
              <w:rPr>
                <w:rStyle w:val="27"/>
                <w:bdr w:val="none" w:color="auto" w:sz="0" w:space="0"/>
                <w:lang w:val="en-US" w:eastAsia="zh-CN" w:bidi="ar"/>
              </w:rPr>
              <w:t>）报批同意后向定点供应商或者定点生产企业采购</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重大</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8.1.4</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保障化学品、气体运输安全</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100</w:t>
            </w:r>
            <w:r>
              <w:rPr>
                <w:rStyle w:val="27"/>
                <w:bdr w:val="none" w:color="auto" w:sz="0" w:space="0"/>
                <w:lang w:val="en-US" w:eastAsia="zh-CN" w:bidi="ar"/>
              </w:rPr>
              <w:t>）现场抽查，校园内的运输车辆、运送人员、送货方式等符合相关规范</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8.2</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实验室化学品存放</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8.2.1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实验室内危险化学品建有动态台账</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101</w:t>
            </w:r>
            <w:r>
              <w:rPr>
                <w:rStyle w:val="27"/>
                <w:bdr w:val="none" w:color="auto" w:sz="0" w:space="0"/>
                <w:lang w:val="en-US" w:eastAsia="zh-CN" w:bidi="ar"/>
              </w:rPr>
              <w:t>）建立实验室危险化学品动态台账，并有危险化学品安全技术说明书（</w:t>
            </w:r>
            <w:r>
              <w:rPr>
                <w:rStyle w:val="28"/>
                <w:rFonts w:eastAsia="宋体"/>
                <w:bdr w:val="none" w:color="auto" w:sz="0" w:space="0"/>
                <w:lang w:val="en-US" w:eastAsia="zh-CN" w:bidi="ar"/>
              </w:rPr>
              <w:t>MSDS</w:t>
            </w:r>
            <w:r>
              <w:rPr>
                <w:rStyle w:val="27"/>
                <w:bdr w:val="none" w:color="auto" w:sz="0" w:space="0"/>
                <w:lang w:val="en-US" w:eastAsia="zh-CN" w:bidi="ar"/>
              </w:rPr>
              <w:t>）或安全周知卡，方便查阅；</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102</w:t>
            </w:r>
            <w:r>
              <w:rPr>
                <w:rStyle w:val="27"/>
                <w:bdr w:val="none" w:color="auto" w:sz="0" w:space="0"/>
                <w:lang w:val="en-US" w:eastAsia="zh-CN" w:bidi="ar"/>
              </w:rPr>
              <w:t>）定期清理废旧试剂，无累积现象</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8.2.2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化学品有专用存放空间并科学有序存放</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103</w:t>
            </w:r>
            <w:r>
              <w:rPr>
                <w:rStyle w:val="27"/>
                <w:bdr w:val="none" w:color="auto" w:sz="0" w:space="0"/>
                <w:lang w:val="en-US" w:eastAsia="zh-CN" w:bidi="ar"/>
              </w:rPr>
              <w:t>）储藏室、储藏区、储存柜等应通风、隔热、避光、安全；</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104</w:t>
            </w:r>
            <w:r>
              <w:rPr>
                <w:rStyle w:val="27"/>
                <w:bdr w:val="none" w:color="auto" w:sz="0" w:space="0"/>
                <w:lang w:val="en-US" w:eastAsia="zh-CN" w:bidi="ar"/>
              </w:rPr>
              <w:t>）易泄漏、易挥发的试剂存放设备与地点应保证充足的通风；</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105</w:t>
            </w:r>
            <w:r>
              <w:rPr>
                <w:rStyle w:val="27"/>
                <w:bdr w:val="none" w:color="auto" w:sz="0" w:space="0"/>
                <w:lang w:val="en-US" w:eastAsia="zh-CN" w:bidi="ar"/>
              </w:rPr>
              <w:t>）试剂柜中不能有电源插座或接线板；</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106</w:t>
            </w:r>
            <w:r>
              <w:rPr>
                <w:rStyle w:val="27"/>
                <w:bdr w:val="none" w:color="auto" w:sz="0" w:space="0"/>
                <w:lang w:val="en-US" w:eastAsia="zh-CN" w:bidi="ar"/>
              </w:rPr>
              <w:t>）化学品有序分类存放，固体液体不混乱放置，互为禁忌的化学品不得混放，</w:t>
            </w:r>
            <w:r>
              <w:rPr>
                <w:rStyle w:val="28"/>
                <w:rFonts w:eastAsia="宋体"/>
                <w:bdr w:val="none" w:color="auto" w:sz="0" w:space="0"/>
                <w:lang w:val="en-US" w:eastAsia="zh-CN" w:bidi="ar"/>
              </w:rPr>
              <w:t xml:space="preserve"> </w:t>
            </w:r>
            <w:r>
              <w:rPr>
                <w:rStyle w:val="27"/>
                <w:bdr w:val="none" w:color="auto" w:sz="0" w:space="0"/>
                <w:lang w:val="en-US" w:eastAsia="zh-CN" w:bidi="ar"/>
              </w:rPr>
              <w:t>试剂不得叠放。有机溶剂储存区应远离热源和火源。装有试剂的试剂瓶不得开口放置。实验台架无挡板不得存放化学试剂；</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107</w:t>
            </w:r>
            <w:r>
              <w:rPr>
                <w:rStyle w:val="27"/>
                <w:bdr w:val="none" w:color="auto" w:sz="0" w:space="0"/>
                <w:lang w:val="en-US" w:eastAsia="zh-CN" w:bidi="ar"/>
              </w:rPr>
              <w:t>）配备必要的二次泄漏防护、吸附或防溢流功能</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4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8.2.3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实验室内存放的危险化学品总量符合规定要求</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108</w:t>
            </w:r>
            <w:r>
              <w:rPr>
                <w:rStyle w:val="27"/>
                <w:bdr w:val="none" w:color="auto" w:sz="0" w:space="0"/>
                <w:lang w:val="en-US" w:eastAsia="zh-CN" w:bidi="ar"/>
              </w:rPr>
              <w:t>）危险化学品（不含压缩气体和液化气体）原则上不应超过</w:t>
            </w:r>
            <w:r>
              <w:rPr>
                <w:rStyle w:val="28"/>
                <w:rFonts w:eastAsia="宋体"/>
                <w:bdr w:val="none" w:color="auto" w:sz="0" w:space="0"/>
                <w:lang w:val="en-US" w:eastAsia="zh-CN" w:bidi="ar"/>
              </w:rPr>
              <w:t>100</w:t>
            </w:r>
            <w:r>
              <w:rPr>
                <w:rStyle w:val="27"/>
                <w:bdr w:val="none" w:color="auto" w:sz="0" w:space="0"/>
                <w:lang w:val="en-US" w:eastAsia="zh-CN" w:bidi="ar"/>
              </w:rPr>
              <w:t>公升或</w:t>
            </w:r>
            <w:r>
              <w:rPr>
                <w:rStyle w:val="28"/>
                <w:rFonts w:eastAsia="宋体"/>
                <w:bdr w:val="none" w:color="auto" w:sz="0" w:space="0"/>
                <w:lang w:val="en-US" w:eastAsia="zh-CN" w:bidi="ar"/>
              </w:rPr>
              <w:t xml:space="preserve"> 100</w:t>
            </w:r>
            <w:r>
              <w:rPr>
                <w:rStyle w:val="27"/>
                <w:bdr w:val="none" w:color="auto" w:sz="0" w:space="0"/>
                <w:lang w:val="en-US" w:eastAsia="zh-CN" w:bidi="ar"/>
              </w:rPr>
              <w:t>千克，其中易燃易爆性化学品的存放总量不应超过</w:t>
            </w:r>
            <w:r>
              <w:rPr>
                <w:rStyle w:val="28"/>
                <w:rFonts w:eastAsia="宋体"/>
                <w:bdr w:val="none" w:color="auto" w:sz="0" w:space="0"/>
                <w:lang w:val="en-US" w:eastAsia="zh-CN" w:bidi="ar"/>
              </w:rPr>
              <w:t>50</w:t>
            </w:r>
            <w:r>
              <w:rPr>
                <w:rStyle w:val="27"/>
                <w:bdr w:val="none" w:color="auto" w:sz="0" w:space="0"/>
                <w:lang w:val="en-US" w:eastAsia="zh-CN" w:bidi="ar"/>
              </w:rPr>
              <w:t>公升或</w:t>
            </w:r>
            <w:r>
              <w:rPr>
                <w:rStyle w:val="28"/>
                <w:rFonts w:eastAsia="宋体"/>
                <w:bdr w:val="none" w:color="auto" w:sz="0" w:space="0"/>
                <w:lang w:val="en-US" w:eastAsia="zh-CN" w:bidi="ar"/>
              </w:rPr>
              <w:t>50</w:t>
            </w:r>
            <w:r>
              <w:rPr>
                <w:rStyle w:val="27"/>
                <w:bdr w:val="none" w:color="auto" w:sz="0" w:space="0"/>
                <w:lang w:val="en-US" w:eastAsia="zh-CN" w:bidi="ar"/>
              </w:rPr>
              <w:t>千克，且单一包装容器不应大于</w:t>
            </w:r>
            <w:r>
              <w:rPr>
                <w:rStyle w:val="28"/>
                <w:rFonts w:eastAsia="宋体"/>
                <w:bdr w:val="none" w:color="auto" w:sz="0" w:space="0"/>
                <w:lang w:val="en-US" w:eastAsia="zh-CN" w:bidi="ar"/>
              </w:rPr>
              <w:t>20</w:t>
            </w:r>
            <w:r>
              <w:rPr>
                <w:rStyle w:val="27"/>
                <w:bdr w:val="none" w:color="auto" w:sz="0" w:space="0"/>
                <w:lang w:val="en-US" w:eastAsia="zh-CN" w:bidi="ar"/>
              </w:rPr>
              <w:t>公升或</w:t>
            </w:r>
            <w:r>
              <w:rPr>
                <w:rStyle w:val="28"/>
                <w:rFonts w:eastAsia="宋体"/>
                <w:bdr w:val="none" w:color="auto" w:sz="0" w:space="0"/>
                <w:lang w:val="en-US" w:eastAsia="zh-CN" w:bidi="ar"/>
              </w:rPr>
              <w:t>20</w:t>
            </w:r>
            <w:r>
              <w:rPr>
                <w:rStyle w:val="27"/>
                <w:bdr w:val="none" w:color="auto" w:sz="0" w:space="0"/>
                <w:lang w:val="en-US" w:eastAsia="zh-CN" w:bidi="ar"/>
              </w:rPr>
              <w:t>千克（按</w:t>
            </w:r>
            <w:r>
              <w:rPr>
                <w:rStyle w:val="28"/>
                <w:rFonts w:eastAsia="宋体"/>
                <w:bdr w:val="none" w:color="auto" w:sz="0" w:space="0"/>
                <w:lang w:val="en-US" w:eastAsia="zh-CN" w:bidi="ar"/>
              </w:rPr>
              <w:t>50</w:t>
            </w:r>
            <w:r>
              <w:rPr>
                <w:rStyle w:val="27"/>
                <w:bdr w:val="none" w:color="auto" w:sz="0" w:space="0"/>
                <w:lang w:val="en-US" w:eastAsia="zh-CN" w:bidi="ar"/>
              </w:rPr>
              <w:t>平方米为标准，存放量以实验室面积比考量）</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109</w:t>
            </w:r>
            <w:r>
              <w:rPr>
                <w:rStyle w:val="27"/>
                <w:bdr w:val="none" w:color="auto" w:sz="0" w:space="0"/>
                <w:lang w:val="en-US" w:eastAsia="zh-CN" w:bidi="ar"/>
              </w:rPr>
              <w:t>）单个实验装置存在</w:t>
            </w:r>
            <w:r>
              <w:rPr>
                <w:rStyle w:val="28"/>
                <w:rFonts w:eastAsia="宋体"/>
                <w:bdr w:val="none" w:color="auto" w:sz="0" w:space="0"/>
                <w:lang w:val="en-US" w:eastAsia="zh-CN" w:bidi="ar"/>
              </w:rPr>
              <w:t>10</w:t>
            </w:r>
            <w:r>
              <w:rPr>
                <w:rStyle w:val="27"/>
                <w:bdr w:val="none" w:color="auto" w:sz="0" w:space="0"/>
                <w:lang w:val="en-US" w:eastAsia="zh-CN" w:bidi="ar"/>
              </w:rPr>
              <w:t>公升以上甲类物质储罐，或</w:t>
            </w:r>
            <w:r>
              <w:rPr>
                <w:rStyle w:val="28"/>
                <w:rFonts w:eastAsia="宋体"/>
                <w:bdr w:val="none" w:color="auto" w:sz="0" w:space="0"/>
                <w:lang w:val="en-US" w:eastAsia="zh-CN" w:bidi="ar"/>
              </w:rPr>
              <w:t>20</w:t>
            </w:r>
            <w:r>
              <w:rPr>
                <w:rStyle w:val="27"/>
                <w:bdr w:val="none" w:color="auto" w:sz="0" w:space="0"/>
                <w:lang w:val="en-US" w:eastAsia="zh-CN" w:bidi="ar"/>
              </w:rPr>
              <w:t>公升以上乙类物质储罐或</w:t>
            </w:r>
            <w:r>
              <w:rPr>
                <w:rStyle w:val="28"/>
                <w:rFonts w:eastAsia="宋体"/>
                <w:bdr w:val="none" w:color="auto" w:sz="0" w:space="0"/>
                <w:lang w:val="en-US" w:eastAsia="zh-CN" w:bidi="ar"/>
              </w:rPr>
              <w:t>50</w:t>
            </w:r>
            <w:r>
              <w:rPr>
                <w:rStyle w:val="27"/>
                <w:bdr w:val="none" w:color="auto" w:sz="0" w:space="0"/>
                <w:lang w:val="en-US" w:eastAsia="zh-CN" w:bidi="ar"/>
              </w:rPr>
              <w:t>公升以上丙类物质储罐时，需加装泄露报警器及通风联动装置</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8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8.2.4</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化学品标签应显著完整清晰</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110</w:t>
            </w:r>
            <w:r>
              <w:rPr>
                <w:rStyle w:val="27"/>
                <w:bdr w:val="none" w:color="auto" w:sz="0" w:space="0"/>
                <w:lang w:val="en-US" w:eastAsia="zh-CN" w:bidi="ar"/>
              </w:rPr>
              <w:t>）化学品包装物上应有符合规定的化学品标签；</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111</w:t>
            </w:r>
            <w:r>
              <w:rPr>
                <w:rStyle w:val="27"/>
                <w:bdr w:val="none" w:color="auto" w:sz="0" w:space="0"/>
                <w:lang w:val="en-US" w:eastAsia="zh-CN" w:bidi="ar"/>
              </w:rPr>
              <w:t>）当化学品由原包装物转移或分装到其他包装物内时，转移或分装后的包装物应及时重新粘贴标识。化学品标签脱落、模糊、腐蚀后应及时补上，如不能确认，则以不明废弃化学品处置</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8.3</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实验操作安全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8.3.1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制定危险实验、危险化工工艺指导书、各类标准操作规程（</w:t>
            </w:r>
            <w:r>
              <w:rPr>
                <w:rStyle w:val="28"/>
                <w:rFonts w:eastAsia="宋体"/>
                <w:bdr w:val="none" w:color="auto" w:sz="0" w:space="0"/>
                <w:lang w:val="en-US" w:eastAsia="zh-CN" w:bidi="ar"/>
              </w:rPr>
              <w:t>SOP</w:t>
            </w:r>
            <w:r>
              <w:rPr>
                <w:rStyle w:val="27"/>
                <w:bdr w:val="none" w:color="auto" w:sz="0" w:space="0"/>
                <w:lang w:val="en-US" w:eastAsia="zh-CN" w:bidi="ar"/>
              </w:rPr>
              <w:t>）、应急预案</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112</w:t>
            </w:r>
            <w:r>
              <w:rPr>
                <w:rStyle w:val="27"/>
                <w:bdr w:val="none" w:color="auto" w:sz="0" w:space="0"/>
                <w:lang w:val="en-US" w:eastAsia="zh-CN" w:bidi="ar"/>
              </w:rPr>
              <w:t>）指导书和预案上墙或便于取阅，实验人员熟悉所涉及的危险性及应急处理措施，按照指导书进行实验</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8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8.3.2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危险化工工艺和装置应设置自动控制和电源冗余设计</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113</w:t>
            </w:r>
            <w:r>
              <w:rPr>
                <w:rStyle w:val="27"/>
                <w:bdr w:val="none" w:color="auto" w:sz="0" w:space="0"/>
                <w:lang w:val="en-US" w:eastAsia="zh-CN" w:bidi="ar"/>
              </w:rPr>
              <w:t>）涉及危险化工工艺、重点监管危险化学品的反应装置应设置自动化控制系统；</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114</w:t>
            </w:r>
            <w:r>
              <w:rPr>
                <w:rStyle w:val="27"/>
                <w:bdr w:val="none" w:color="auto" w:sz="0" w:space="0"/>
                <w:lang w:val="en-US" w:eastAsia="zh-CN" w:bidi="ar"/>
              </w:rPr>
              <w:t>）涉及放热反应的危险化工工艺生产装置应设置双重电源供电或控制系统应配置不间断电源</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8.3.3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做好有毒有害废气的处理和防护</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115</w:t>
            </w:r>
            <w:r>
              <w:rPr>
                <w:rStyle w:val="27"/>
                <w:bdr w:val="none" w:color="auto" w:sz="0" w:space="0"/>
                <w:lang w:val="en-US" w:eastAsia="zh-CN" w:bidi="ar"/>
              </w:rPr>
              <w:t>）对于产生有毒有害废气的实验，须在通风柜中进行，并在实验装置尾端配有气体吸收装置，配备合适有效的呼吸器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3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8.4</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管制类化学品管理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8.4.1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剧毒化学品执行</w:t>
            </w:r>
            <w:r>
              <w:rPr>
                <w:rStyle w:val="28"/>
                <w:rFonts w:eastAsia="宋体"/>
                <w:bdr w:val="none" w:color="auto" w:sz="0" w:space="0"/>
                <w:lang w:val="en-US" w:eastAsia="zh-CN" w:bidi="ar"/>
              </w:rPr>
              <w:t>“</w:t>
            </w:r>
            <w:r>
              <w:rPr>
                <w:rStyle w:val="27"/>
                <w:bdr w:val="none" w:color="auto" w:sz="0" w:space="0"/>
                <w:lang w:val="en-US" w:eastAsia="zh-CN" w:bidi="ar"/>
              </w:rPr>
              <w:t>五双</w:t>
            </w:r>
            <w:r>
              <w:rPr>
                <w:rStyle w:val="28"/>
                <w:rFonts w:eastAsia="宋体"/>
                <w:bdr w:val="none" w:color="auto" w:sz="0" w:space="0"/>
                <w:lang w:val="en-US" w:eastAsia="zh-CN" w:bidi="ar"/>
              </w:rPr>
              <w:t>”</w:t>
            </w:r>
            <w:r>
              <w:rPr>
                <w:rStyle w:val="27"/>
                <w:bdr w:val="none" w:color="auto" w:sz="0" w:space="0"/>
                <w:lang w:val="en-US" w:eastAsia="zh-CN" w:bidi="ar"/>
              </w:rPr>
              <w:t>管理（即双人验收、双人保管、双人发货、双把锁、双本账），技防措施符合管制要求</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116</w:t>
            </w:r>
            <w:r>
              <w:rPr>
                <w:rStyle w:val="27"/>
                <w:bdr w:val="none" w:color="auto" w:sz="0" w:space="0"/>
                <w:lang w:val="en-US" w:eastAsia="zh-CN" w:bidi="ar"/>
              </w:rPr>
              <w:t>）单独存放、不得与易燃、易爆、腐蚀性物品等一起存放；</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117</w:t>
            </w:r>
            <w:r>
              <w:rPr>
                <w:rStyle w:val="27"/>
                <w:bdr w:val="none" w:color="auto" w:sz="0" w:space="0"/>
                <w:lang w:val="en-US" w:eastAsia="zh-CN" w:bidi="ar"/>
              </w:rPr>
              <w:t>）有专人管理并做好贮存、领取、发放情况登记，登记资料至少保存</w:t>
            </w:r>
            <w:r>
              <w:rPr>
                <w:rStyle w:val="28"/>
                <w:rFonts w:eastAsia="宋体"/>
                <w:bdr w:val="none" w:color="auto" w:sz="0" w:space="0"/>
                <w:lang w:val="en-US" w:eastAsia="zh-CN" w:bidi="ar"/>
              </w:rPr>
              <w:t xml:space="preserve"> 1 </w:t>
            </w:r>
            <w:r>
              <w:rPr>
                <w:rStyle w:val="27"/>
                <w:bdr w:val="none" w:color="auto" w:sz="0" w:space="0"/>
                <w:lang w:val="en-US" w:eastAsia="zh-CN" w:bidi="ar"/>
              </w:rPr>
              <w:t>年；</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118</w:t>
            </w:r>
            <w:r>
              <w:rPr>
                <w:rStyle w:val="27"/>
                <w:bdr w:val="none" w:color="auto" w:sz="0" w:space="0"/>
                <w:lang w:val="en-US" w:eastAsia="zh-CN" w:bidi="ar"/>
              </w:rPr>
              <w:t>）防盗安全门应符合</w:t>
            </w:r>
            <w:r>
              <w:rPr>
                <w:rStyle w:val="28"/>
                <w:rFonts w:eastAsia="宋体"/>
                <w:bdr w:val="none" w:color="auto" w:sz="0" w:space="0"/>
                <w:lang w:val="en-US" w:eastAsia="zh-CN" w:bidi="ar"/>
              </w:rPr>
              <w:t xml:space="preserve"> GB17565 </w:t>
            </w:r>
            <w:r>
              <w:rPr>
                <w:rStyle w:val="27"/>
                <w:bdr w:val="none" w:color="auto" w:sz="0" w:space="0"/>
                <w:lang w:val="en-US" w:eastAsia="zh-CN" w:bidi="ar"/>
              </w:rPr>
              <w:t>的要求，防盗安全级别为乙级（含）以上，防盗锁应符合</w:t>
            </w:r>
            <w:r>
              <w:rPr>
                <w:rStyle w:val="28"/>
                <w:rFonts w:eastAsia="宋体"/>
                <w:bdr w:val="none" w:color="auto" w:sz="0" w:space="0"/>
                <w:lang w:val="en-US" w:eastAsia="zh-CN" w:bidi="ar"/>
              </w:rPr>
              <w:t xml:space="preserve"> GA/T73 </w:t>
            </w:r>
            <w:r>
              <w:rPr>
                <w:rStyle w:val="27"/>
                <w:bdr w:val="none" w:color="auto" w:sz="0" w:space="0"/>
                <w:lang w:val="en-US" w:eastAsia="zh-CN" w:bidi="ar"/>
              </w:rPr>
              <w:t>的要求，防盗保险柜应符合《防盗保险柜》</w:t>
            </w:r>
            <w:r>
              <w:rPr>
                <w:rStyle w:val="28"/>
                <w:rFonts w:eastAsia="宋体"/>
                <w:bdr w:val="none" w:color="auto" w:sz="0" w:space="0"/>
                <w:lang w:val="en-US" w:eastAsia="zh-CN" w:bidi="ar"/>
              </w:rPr>
              <w:t xml:space="preserve">GB10409-2001 </w:t>
            </w:r>
            <w:r>
              <w:rPr>
                <w:rStyle w:val="27"/>
                <w:bdr w:val="none" w:color="auto" w:sz="0" w:space="0"/>
                <w:lang w:val="en-US" w:eastAsia="zh-CN" w:bidi="ar"/>
              </w:rPr>
              <w:t>的要求，监控管控执行公安要求</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8.4.2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麻醉药品和第一类精神药品管理符合</w:t>
            </w:r>
            <w:r>
              <w:rPr>
                <w:rStyle w:val="28"/>
                <w:rFonts w:eastAsia="宋体"/>
                <w:bdr w:val="none" w:color="auto" w:sz="0" w:space="0"/>
                <w:lang w:val="en-US" w:eastAsia="zh-CN" w:bidi="ar"/>
              </w:rPr>
              <w:t>“</w:t>
            </w:r>
            <w:r>
              <w:rPr>
                <w:rStyle w:val="27"/>
                <w:bdr w:val="none" w:color="auto" w:sz="0" w:space="0"/>
                <w:lang w:val="en-US" w:eastAsia="zh-CN" w:bidi="ar"/>
              </w:rPr>
              <w:t>双人双锁</w:t>
            </w:r>
            <w:r>
              <w:rPr>
                <w:rStyle w:val="28"/>
                <w:rFonts w:eastAsia="宋体"/>
                <w:bdr w:val="none" w:color="auto" w:sz="0" w:space="0"/>
                <w:lang w:val="en-US" w:eastAsia="zh-CN" w:bidi="ar"/>
              </w:rPr>
              <w:t>”</w:t>
            </w:r>
            <w:r>
              <w:rPr>
                <w:rStyle w:val="27"/>
                <w:bdr w:val="none" w:color="auto" w:sz="0" w:space="0"/>
                <w:lang w:val="en-US" w:eastAsia="zh-CN" w:bidi="ar"/>
              </w:rPr>
              <w:t>，有专用账册</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119</w:t>
            </w:r>
            <w:r>
              <w:rPr>
                <w:rStyle w:val="27"/>
                <w:bdr w:val="none" w:color="auto" w:sz="0" w:space="0"/>
                <w:lang w:val="en-US" w:eastAsia="zh-CN" w:bidi="ar"/>
              </w:rPr>
              <w:t>）设立专库或者专柜储存，专库应当设有防盗设施并安装报警装置，专柜应当使用保险柜，专库和专柜应当实行双人双锁管理；</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120</w:t>
            </w:r>
            <w:r>
              <w:rPr>
                <w:rStyle w:val="27"/>
                <w:bdr w:val="none" w:color="auto" w:sz="0" w:space="0"/>
                <w:lang w:val="en-US" w:eastAsia="zh-CN" w:bidi="ar"/>
              </w:rPr>
              <w:t>）配备专人管理并建立专用账册，专用账册的保存期限应当自药品有效期期满之日起不少于</w:t>
            </w:r>
            <w:r>
              <w:rPr>
                <w:rStyle w:val="28"/>
                <w:rFonts w:eastAsia="宋体"/>
                <w:bdr w:val="none" w:color="auto" w:sz="0" w:space="0"/>
                <w:lang w:val="en-US" w:eastAsia="zh-CN" w:bidi="ar"/>
              </w:rPr>
              <w:t xml:space="preserve"> 5 </w:t>
            </w:r>
            <w:r>
              <w:rPr>
                <w:rStyle w:val="27"/>
                <w:bdr w:val="none" w:color="auto" w:sz="0" w:space="0"/>
                <w:lang w:val="en-US" w:eastAsia="zh-CN" w:bidi="ar"/>
              </w:rPr>
              <w:t>年</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8.4.3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易制爆化学品存量合规、双人双锁</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121</w:t>
            </w:r>
            <w:r>
              <w:rPr>
                <w:rStyle w:val="27"/>
                <w:bdr w:val="none" w:color="auto" w:sz="0" w:space="0"/>
                <w:lang w:val="en-US" w:eastAsia="zh-CN" w:bidi="ar"/>
              </w:rPr>
              <w:t>）存放场所出入口应设置防盗安全门，或存放在专用储存柜内，储存场所防盗安全级别应为乙级（含）以上，专用储存柜应具有防盗功能，符合双人双锁管理要求，台账账册保存期限不少于</w:t>
            </w:r>
            <w:r>
              <w:rPr>
                <w:rStyle w:val="28"/>
                <w:rFonts w:eastAsia="宋体"/>
                <w:bdr w:val="none" w:color="auto" w:sz="0" w:space="0"/>
                <w:lang w:val="en-US" w:eastAsia="zh-CN" w:bidi="ar"/>
              </w:rPr>
              <w:t xml:space="preserve"> 1 </w:t>
            </w:r>
            <w:r>
              <w:rPr>
                <w:rStyle w:val="27"/>
                <w:bdr w:val="none" w:color="auto" w:sz="0" w:space="0"/>
                <w:lang w:val="en-US" w:eastAsia="zh-CN" w:bidi="ar"/>
              </w:rPr>
              <w:t>年</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8.4.4</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易制毒化学品储存规范，台账清晰</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122</w:t>
            </w:r>
            <w:r>
              <w:rPr>
                <w:rStyle w:val="27"/>
                <w:bdr w:val="none" w:color="auto" w:sz="0" w:space="0"/>
                <w:lang w:val="en-US" w:eastAsia="zh-CN" w:bidi="ar"/>
              </w:rPr>
              <w:t>）设置专库或者专柜储存，专库应当设有防盗设施；</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123</w:t>
            </w:r>
            <w:r>
              <w:rPr>
                <w:rStyle w:val="27"/>
                <w:bdr w:val="none" w:color="auto" w:sz="0" w:space="0"/>
                <w:lang w:val="en-US" w:eastAsia="zh-CN" w:bidi="ar"/>
              </w:rPr>
              <w:t>）第一类易制毒化学品、药品类易制毒化学品实现双人双锁管理，账册保存期限不少于</w:t>
            </w:r>
            <w:r>
              <w:rPr>
                <w:rStyle w:val="28"/>
                <w:rFonts w:eastAsia="宋体"/>
                <w:bdr w:val="none" w:color="auto" w:sz="0" w:space="0"/>
                <w:lang w:val="en-US" w:eastAsia="zh-CN" w:bidi="ar"/>
              </w:rPr>
              <w:t xml:space="preserve"> 2 </w:t>
            </w:r>
            <w:r>
              <w:rPr>
                <w:rStyle w:val="27"/>
                <w:bdr w:val="none" w:color="auto" w:sz="0" w:space="0"/>
                <w:lang w:val="en-US" w:eastAsia="zh-CN" w:bidi="ar"/>
              </w:rPr>
              <w:t>年。第二、三类易制毒品实行上锁管理，并记录台账</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8.4.5</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爆炸品单独隔离、限量存储，使用、销毁按照公安部门要求执行</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124</w:t>
            </w:r>
            <w:r>
              <w:rPr>
                <w:rStyle w:val="27"/>
                <w:bdr w:val="none" w:color="auto" w:sz="0" w:space="0"/>
                <w:lang w:val="en-US" w:eastAsia="zh-CN" w:bidi="ar"/>
              </w:rPr>
              <w:t>）收存和发放民用爆炸物品必须进行登记，做到账目清楚，账物相符</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8.5</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实验气体管理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8.5.1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从合格供应商处采购实验气体，建立气体钢瓶台账</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125</w:t>
            </w:r>
            <w:r>
              <w:rPr>
                <w:rStyle w:val="27"/>
                <w:bdr w:val="none" w:color="auto" w:sz="0" w:space="0"/>
                <w:lang w:val="en-US" w:eastAsia="zh-CN" w:bidi="ar"/>
              </w:rPr>
              <w:t>）查看记录</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8.5.2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气体的存放和使用符合相关要求</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126</w:t>
            </w:r>
            <w:r>
              <w:rPr>
                <w:rStyle w:val="27"/>
                <w:bdr w:val="none" w:color="auto" w:sz="0" w:space="0"/>
                <w:lang w:val="en-US" w:eastAsia="zh-CN" w:bidi="ar"/>
              </w:rPr>
              <w:t>）气体钢瓶存放点须通风、远离热源、避免暴晒，地面平整干燥；</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127</w:t>
            </w:r>
            <w:r>
              <w:rPr>
                <w:rStyle w:val="27"/>
                <w:bdr w:val="none" w:color="auto" w:sz="0" w:space="0"/>
                <w:lang w:val="en-US" w:eastAsia="zh-CN" w:bidi="ar"/>
              </w:rPr>
              <w:t>）气瓶应合理固定；</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128</w:t>
            </w:r>
            <w:r>
              <w:rPr>
                <w:rStyle w:val="27"/>
                <w:bdr w:val="none" w:color="auto" w:sz="0" w:space="0"/>
                <w:lang w:val="en-US" w:eastAsia="zh-CN" w:bidi="ar"/>
              </w:rPr>
              <w:t>）危险气体钢瓶尽量置于室外，室内放置应使用常时排风且带监测报警装置的气瓶柜；</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129</w:t>
            </w:r>
            <w:r>
              <w:rPr>
                <w:rStyle w:val="27"/>
                <w:bdr w:val="none" w:color="auto" w:sz="0" w:space="0"/>
                <w:lang w:val="en-US" w:eastAsia="zh-CN" w:bidi="ar"/>
              </w:rPr>
              <w:t>）气瓶的存放应控制在最小需求量；</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130</w:t>
            </w:r>
            <w:r>
              <w:rPr>
                <w:rStyle w:val="27"/>
                <w:bdr w:val="none" w:color="auto" w:sz="0" w:space="0"/>
                <w:lang w:val="en-US" w:eastAsia="zh-CN" w:bidi="ar"/>
              </w:rPr>
              <w:t>）涉及有毒、可燃气体的场所，配有通风设施和相应的气体监测和报警装置等，张贴必要的安全警示标识；</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131</w:t>
            </w:r>
            <w:r>
              <w:rPr>
                <w:rStyle w:val="27"/>
                <w:bdr w:val="none" w:color="auto" w:sz="0" w:space="0"/>
                <w:lang w:val="en-US" w:eastAsia="zh-CN" w:bidi="ar"/>
              </w:rPr>
              <w:t>）可燃性气体与氧气等助燃气体钢瓶不得混放；</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132</w:t>
            </w:r>
            <w:r>
              <w:rPr>
                <w:rStyle w:val="27"/>
                <w:bdr w:val="none" w:color="auto" w:sz="0" w:space="0"/>
                <w:lang w:val="en-US" w:eastAsia="zh-CN" w:bidi="ar"/>
              </w:rPr>
              <w:t>）独立的气体钢瓶室应通风、不混放、有监控，有专人管理和记录；</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133</w:t>
            </w:r>
            <w:r>
              <w:rPr>
                <w:rStyle w:val="27"/>
                <w:bdr w:val="none" w:color="auto" w:sz="0" w:space="0"/>
                <w:lang w:val="en-US" w:eastAsia="zh-CN" w:bidi="ar"/>
              </w:rPr>
              <w:t>）有供应商提供的钢瓶定期检验合格标识，无超过检验有效期的气瓶、无超过设计年限的气瓶；</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134</w:t>
            </w:r>
            <w:r>
              <w:rPr>
                <w:rStyle w:val="27"/>
                <w:bdr w:val="none" w:color="auto" w:sz="0" w:space="0"/>
                <w:lang w:val="en-US" w:eastAsia="zh-CN" w:bidi="ar"/>
              </w:rPr>
              <w:t>）钢瓶气瓶颜色符合</w:t>
            </w:r>
            <w:r>
              <w:rPr>
                <w:rStyle w:val="28"/>
                <w:rFonts w:eastAsia="宋体"/>
                <w:bdr w:val="none" w:color="auto" w:sz="0" w:space="0"/>
                <w:lang w:val="en-US" w:eastAsia="zh-CN" w:bidi="ar"/>
              </w:rPr>
              <w:t xml:space="preserve"> GB/T 7144 </w:t>
            </w:r>
            <w:r>
              <w:rPr>
                <w:rStyle w:val="27"/>
                <w:bdr w:val="none" w:color="auto" w:sz="0" w:space="0"/>
                <w:lang w:val="en-US" w:eastAsia="zh-CN" w:bidi="ar"/>
              </w:rPr>
              <w:t>的规定要求，确认</w:t>
            </w:r>
            <w:r>
              <w:rPr>
                <w:rStyle w:val="28"/>
                <w:rFonts w:eastAsia="宋体"/>
                <w:bdr w:val="none" w:color="auto" w:sz="0" w:space="0"/>
                <w:lang w:val="en-US" w:eastAsia="zh-CN" w:bidi="ar"/>
              </w:rPr>
              <w:t>“</w:t>
            </w:r>
            <w:r>
              <w:rPr>
                <w:rStyle w:val="27"/>
                <w:bdr w:val="none" w:color="auto" w:sz="0" w:space="0"/>
                <w:lang w:val="en-US" w:eastAsia="zh-CN" w:bidi="ar"/>
              </w:rPr>
              <w:t>满、使用中、空瓶</w:t>
            </w:r>
            <w:r>
              <w:rPr>
                <w:rStyle w:val="28"/>
                <w:rFonts w:eastAsia="宋体"/>
                <w:bdr w:val="none" w:color="auto" w:sz="0" w:space="0"/>
                <w:lang w:val="en-US" w:eastAsia="zh-CN" w:bidi="ar"/>
              </w:rPr>
              <w:t>”</w:t>
            </w:r>
            <w:r>
              <w:rPr>
                <w:rStyle w:val="27"/>
                <w:bdr w:val="none" w:color="auto" w:sz="0" w:space="0"/>
                <w:lang w:val="en-US" w:eastAsia="zh-CN" w:bidi="ar"/>
              </w:rPr>
              <w:t>三种状态；</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135</w:t>
            </w:r>
            <w:r>
              <w:rPr>
                <w:rStyle w:val="27"/>
                <w:bdr w:val="none" w:color="auto" w:sz="0" w:space="0"/>
                <w:lang w:val="en-US" w:eastAsia="zh-CN" w:bidi="ar"/>
              </w:rPr>
              <w:t>）使用完毕，应及时关闭气瓶总阀；</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136</w:t>
            </w:r>
            <w:r>
              <w:rPr>
                <w:rStyle w:val="27"/>
                <w:bdr w:val="none" w:color="auto" w:sz="0" w:space="0"/>
                <w:lang w:val="en-US" w:eastAsia="zh-CN" w:bidi="ar"/>
              </w:rPr>
              <w:t>）钢瓶附件齐全，未在使用中的气瓶应有气瓶帽</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8.5.3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较小密封空间使用可引起窒息的气体，需安装有氧含量监测，设置必要的气体报警装置</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137</w:t>
            </w:r>
            <w:r>
              <w:rPr>
                <w:rStyle w:val="27"/>
                <w:bdr w:val="none" w:color="auto" w:sz="0" w:space="0"/>
                <w:lang w:val="en-US" w:eastAsia="zh-CN" w:bidi="ar"/>
              </w:rPr>
              <w:t>）存有大量无毒窒息性压缩气体或液化气体（液氮、液氩）的较小密闭空间，为防止大量泄漏或蒸发导致缺氧，须安装氧含量监测报警装置</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8.5.4</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气体管路和钢瓶连接正确、有清晰标识</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138</w:t>
            </w:r>
            <w:r>
              <w:rPr>
                <w:rStyle w:val="27"/>
                <w:bdr w:val="none" w:color="auto" w:sz="0" w:space="0"/>
                <w:lang w:val="en-US" w:eastAsia="zh-CN" w:bidi="ar"/>
              </w:rPr>
              <w:t>）管路材质选择合适，无破损或老化现象，定期进行气密性检查；存在多条气体管路的房间须张贴详细的管路图，管路标识正确</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8.6</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化学废弃物处置管理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8.6.1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实验室应设立化学废弃物暂存区</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139</w:t>
            </w:r>
            <w:r>
              <w:rPr>
                <w:rStyle w:val="27"/>
                <w:bdr w:val="none" w:color="auto" w:sz="0" w:space="0"/>
                <w:lang w:val="en-US" w:eastAsia="zh-CN" w:bidi="ar"/>
              </w:rPr>
              <w:t>）暂存区应远离火源、热源和不相容物质，避免日晒、雨淋，存放两种及以上不相容的实验室危险废物时，应分不同区域；</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140</w:t>
            </w:r>
            <w:r>
              <w:rPr>
                <w:rStyle w:val="27"/>
                <w:bdr w:val="none" w:color="auto" w:sz="0" w:space="0"/>
                <w:lang w:val="en-US" w:eastAsia="zh-CN" w:bidi="ar"/>
              </w:rPr>
              <w:t>）暂存区应有警示标识并有防遗洒、防渗漏设施或措施</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8.6.2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实验室内须规范收集化学废弃物</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141</w:t>
            </w:r>
            <w:r>
              <w:rPr>
                <w:rStyle w:val="27"/>
                <w:bdr w:val="none" w:color="auto" w:sz="0" w:space="0"/>
                <w:lang w:val="en-US" w:eastAsia="zh-CN" w:bidi="ar"/>
              </w:rPr>
              <w:t>）危险废物应按化学特性和危险特性，进行分类收集和暂存；</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142</w:t>
            </w:r>
            <w:r>
              <w:rPr>
                <w:rStyle w:val="27"/>
                <w:bdr w:val="none" w:color="auto" w:sz="0" w:space="0"/>
                <w:lang w:val="en-US" w:eastAsia="zh-CN" w:bidi="ar"/>
              </w:rPr>
              <w:t>）废弃的化学试剂应存放在原试剂瓶中，保留原标签，并瓶口朝上放入专用固废箱中；</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143</w:t>
            </w:r>
            <w:r>
              <w:rPr>
                <w:rStyle w:val="27"/>
                <w:bdr w:val="none" w:color="auto" w:sz="0" w:space="0"/>
                <w:lang w:val="en-US" w:eastAsia="zh-CN" w:bidi="ar"/>
              </w:rPr>
              <w:t>）针头等利器需放入利器盒中收集；</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144</w:t>
            </w:r>
            <w:r>
              <w:rPr>
                <w:rStyle w:val="27"/>
                <w:bdr w:val="none" w:color="auto" w:sz="0" w:space="0"/>
                <w:lang w:val="en-US" w:eastAsia="zh-CN" w:bidi="ar"/>
              </w:rPr>
              <w:t>）废液应分类装入专用废液桶中，液面不超过容量的</w:t>
            </w:r>
            <w:r>
              <w:rPr>
                <w:rStyle w:val="28"/>
                <w:rFonts w:eastAsia="宋体"/>
                <w:bdr w:val="none" w:color="auto" w:sz="0" w:space="0"/>
                <w:lang w:val="en-US" w:eastAsia="zh-CN" w:bidi="ar"/>
              </w:rPr>
              <w:t xml:space="preserve"> 3/4</w:t>
            </w:r>
            <w:r>
              <w:rPr>
                <w:rStyle w:val="27"/>
                <w:bdr w:val="none" w:color="auto" w:sz="0" w:space="0"/>
                <w:lang w:val="en-US" w:eastAsia="zh-CN" w:bidi="ar"/>
              </w:rPr>
              <w:t>。废液桶须满足耐腐蚀、抗溶剂、耐挤压、抗冲击的要求；</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145</w:t>
            </w:r>
            <w:r>
              <w:rPr>
                <w:rStyle w:val="27"/>
                <w:bdr w:val="none" w:color="auto" w:sz="0" w:space="0"/>
                <w:lang w:val="en-US" w:eastAsia="zh-CN" w:bidi="ar"/>
              </w:rPr>
              <w:t>）实验室危险废物收集容器上应粘贴危险废物信息标签、警示标志；</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146</w:t>
            </w:r>
            <w:r>
              <w:rPr>
                <w:rStyle w:val="27"/>
                <w:bdr w:val="none" w:color="auto" w:sz="0" w:space="0"/>
                <w:lang w:val="en-US" w:eastAsia="zh-CN" w:bidi="ar"/>
              </w:rPr>
              <w:t>）严禁将实验室危险废物直接排入下水道，严禁与生活垃圾、感染性废物或放射性废物等混装</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8.6.3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设化学废弃物贮存点并规范管理</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147</w:t>
            </w:r>
            <w:r>
              <w:rPr>
                <w:rStyle w:val="27"/>
                <w:bdr w:val="none" w:color="auto" w:sz="0" w:space="0"/>
                <w:lang w:val="en-US" w:eastAsia="zh-CN" w:bidi="ar"/>
              </w:rPr>
              <w:t>）委托有危险废物处置资质的专业厂家集中处置化学废弃物，查看协议；</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148</w:t>
            </w:r>
            <w:r>
              <w:rPr>
                <w:rStyle w:val="27"/>
                <w:bdr w:val="none" w:color="auto" w:sz="0" w:space="0"/>
                <w:lang w:val="en-US" w:eastAsia="zh-CN" w:bidi="ar"/>
              </w:rPr>
              <w:t>）建立危险废物管理台账，如实记录有关信息，包括种类、产生量、流向、贮存、处置等有关资料；</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149</w:t>
            </w:r>
            <w:r>
              <w:rPr>
                <w:rStyle w:val="27"/>
                <w:bdr w:val="none" w:color="auto" w:sz="0" w:space="0"/>
                <w:lang w:val="en-US" w:eastAsia="zh-CN" w:bidi="ar"/>
              </w:rPr>
              <w:t>）校外转运之前，贮存站必须妥善管理实验室危险废物，采取有效措施，防止废物的扬散、流失、渗漏或其他环境污染；</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150</w:t>
            </w:r>
            <w:r>
              <w:rPr>
                <w:rStyle w:val="27"/>
                <w:bdr w:val="none" w:color="auto" w:sz="0" w:space="0"/>
                <w:lang w:val="en-US" w:eastAsia="zh-CN" w:bidi="ar"/>
              </w:rPr>
              <w:t>）转运人员应使用专用运输工具，运输前根据运输废物的危险特性，应携带必要的应急物资和个人防护用具，如收集工具、手套、口罩等；</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151</w:t>
            </w:r>
            <w:r>
              <w:rPr>
                <w:rStyle w:val="27"/>
                <w:bdr w:val="none" w:color="auto" w:sz="0" w:space="0"/>
                <w:lang w:val="en-US" w:eastAsia="zh-CN" w:bidi="ar"/>
              </w:rPr>
              <w:t>）实验室危险废物的校外转运必须按照国家有关规定填写危险废物电子或者纸质转移联单，任何单位和个人未经许可不得非法转运。</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8.7</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其他化学安全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8.7.1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配制试剂需要张贴标签</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152</w:t>
            </w:r>
            <w:r>
              <w:rPr>
                <w:rStyle w:val="27"/>
                <w:bdr w:val="none" w:color="auto" w:sz="0" w:space="0"/>
                <w:lang w:val="en-US" w:eastAsia="zh-CN" w:bidi="ar"/>
              </w:rPr>
              <w:t>）</w:t>
            </w:r>
            <w:r>
              <w:rPr>
                <w:rStyle w:val="28"/>
                <w:rFonts w:eastAsia="宋体"/>
                <w:bdr w:val="none" w:color="auto" w:sz="0" w:space="0"/>
                <w:lang w:val="en-US" w:eastAsia="zh-CN" w:bidi="ar"/>
              </w:rPr>
              <w:t xml:space="preserve"> </w:t>
            </w:r>
            <w:r>
              <w:rPr>
                <w:rStyle w:val="27"/>
                <w:bdr w:val="none" w:color="auto" w:sz="0" w:space="0"/>
                <w:lang w:val="en-US" w:eastAsia="zh-CN" w:bidi="ar"/>
              </w:rPr>
              <w:t>装有配制试剂、合成品、样品等的容器上标签信息明确，标签信息包括名称或编号、使用人、日期等；</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153</w:t>
            </w:r>
            <w:r>
              <w:rPr>
                <w:rStyle w:val="27"/>
                <w:bdr w:val="none" w:color="auto" w:sz="0" w:space="0"/>
                <w:lang w:val="en-US" w:eastAsia="zh-CN" w:bidi="ar"/>
              </w:rPr>
              <w:t>）</w:t>
            </w:r>
            <w:r>
              <w:rPr>
                <w:rStyle w:val="28"/>
                <w:rFonts w:eastAsia="宋体"/>
                <w:bdr w:val="none" w:color="auto" w:sz="0" w:space="0"/>
                <w:lang w:val="en-US" w:eastAsia="zh-CN" w:bidi="ar"/>
              </w:rPr>
              <w:t xml:space="preserve"> </w:t>
            </w:r>
            <w:r>
              <w:rPr>
                <w:rStyle w:val="27"/>
                <w:bdr w:val="none" w:color="auto" w:sz="0" w:space="0"/>
                <w:lang w:val="en-US" w:eastAsia="zh-CN" w:bidi="ar"/>
              </w:rPr>
              <w:t>无使用饮料瓶存放试剂、样品的现象，如确需使用，必须撕去原包装纸，贴上试剂标签</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8.7.2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不使用破损量筒、试管、移液管等玻璃器皿</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154</w:t>
            </w:r>
            <w:r>
              <w:rPr>
                <w:rStyle w:val="27"/>
                <w:bdr w:val="none" w:color="auto" w:sz="0" w:space="0"/>
                <w:lang w:val="en-US" w:eastAsia="zh-CN" w:bidi="ar"/>
              </w:rPr>
              <w:t>）查看现场</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9</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生物安全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9.1</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实验室资质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9.1.1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开展病原微生物实验研究的实验室，须具备相应的安全等级资质</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155</w:t>
            </w:r>
            <w:r>
              <w:rPr>
                <w:rStyle w:val="27"/>
                <w:bdr w:val="none" w:color="auto" w:sz="0" w:space="0"/>
                <w:lang w:val="en-US" w:eastAsia="zh-CN" w:bidi="ar"/>
              </w:rPr>
              <w:t>）</w:t>
            </w:r>
            <w:r>
              <w:rPr>
                <w:rStyle w:val="28"/>
                <w:rFonts w:eastAsia="宋体"/>
                <w:bdr w:val="none" w:color="auto" w:sz="0" w:space="0"/>
                <w:lang w:val="en-US" w:eastAsia="zh-CN" w:bidi="ar"/>
              </w:rPr>
              <w:t xml:space="preserve"> BSL-3/ABSL-3 </w:t>
            </w:r>
            <w:r>
              <w:rPr>
                <w:rStyle w:val="27"/>
                <w:bdr w:val="none" w:color="auto" w:sz="0" w:space="0"/>
                <w:lang w:val="en-US" w:eastAsia="zh-CN" w:bidi="ar"/>
              </w:rPr>
              <w:t>、</w:t>
            </w:r>
            <w:r>
              <w:rPr>
                <w:rStyle w:val="28"/>
                <w:rFonts w:eastAsia="宋体"/>
                <w:bdr w:val="none" w:color="auto" w:sz="0" w:space="0"/>
                <w:lang w:val="en-US" w:eastAsia="zh-CN" w:bidi="ar"/>
              </w:rPr>
              <w:t xml:space="preserve">BSL-4/ABSL-4 </w:t>
            </w:r>
            <w:r>
              <w:rPr>
                <w:rStyle w:val="27"/>
                <w:bdr w:val="none" w:color="auto" w:sz="0" w:space="0"/>
                <w:lang w:val="en-US" w:eastAsia="zh-CN" w:bidi="ar"/>
              </w:rPr>
              <w:t>实验室须经政府部门批准建设，</w:t>
            </w:r>
            <w:r>
              <w:rPr>
                <w:rStyle w:val="28"/>
                <w:rFonts w:eastAsia="宋体"/>
                <w:bdr w:val="none" w:color="auto" w:sz="0" w:space="0"/>
                <w:lang w:val="en-US" w:eastAsia="zh-CN" w:bidi="ar"/>
              </w:rPr>
              <w:t xml:space="preserve"> BSL-1/ABSL-1</w:t>
            </w:r>
            <w:r>
              <w:rPr>
                <w:rStyle w:val="27"/>
                <w:bdr w:val="none" w:color="auto" w:sz="0" w:space="0"/>
                <w:lang w:val="en-US" w:eastAsia="zh-CN" w:bidi="ar"/>
              </w:rPr>
              <w:t>、</w:t>
            </w:r>
            <w:r>
              <w:rPr>
                <w:rStyle w:val="28"/>
                <w:rFonts w:eastAsia="宋体"/>
                <w:bdr w:val="none" w:color="auto" w:sz="0" w:space="0"/>
                <w:lang w:val="en-US" w:eastAsia="zh-CN" w:bidi="ar"/>
              </w:rPr>
              <w:t xml:space="preserve">BSL-2/ ABSL-2 </w:t>
            </w:r>
            <w:r>
              <w:rPr>
                <w:rStyle w:val="27"/>
                <w:bdr w:val="none" w:color="auto" w:sz="0" w:space="0"/>
                <w:lang w:val="en-US" w:eastAsia="zh-CN" w:bidi="ar"/>
              </w:rPr>
              <w:t>实验室由学校建设后报卫生或农业部门备案</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重大</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9.1.2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在规定等级实验室中开展涉及病原微生物的实验</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156</w:t>
            </w:r>
            <w:r>
              <w:rPr>
                <w:rStyle w:val="27"/>
                <w:bdr w:val="none" w:color="auto" w:sz="0" w:space="0"/>
                <w:lang w:val="en-US" w:eastAsia="zh-CN" w:bidi="ar"/>
              </w:rPr>
              <w:t>）以国家法律、法规、标准、规范，以及权威机构发布的指南、数据等为依据对涉及的致病性生物因子进行风险评估，选择对应的实验室安全级别进行致病性病原微生物研究，重点关注：开展未经灭活的高致病性病原微生物（列入一类、二类）相关实验和研究，必须在</w:t>
            </w:r>
            <w:r>
              <w:rPr>
                <w:rStyle w:val="28"/>
                <w:rFonts w:eastAsia="宋体"/>
                <w:bdr w:val="none" w:color="auto" w:sz="0" w:space="0"/>
                <w:lang w:val="en-US" w:eastAsia="zh-CN" w:bidi="ar"/>
              </w:rPr>
              <w:t xml:space="preserve"> BSL-3/ABSL-3</w:t>
            </w:r>
            <w:r>
              <w:rPr>
                <w:rStyle w:val="27"/>
                <w:bdr w:val="none" w:color="auto" w:sz="0" w:space="0"/>
                <w:lang w:val="en-US" w:eastAsia="zh-CN" w:bidi="ar"/>
              </w:rPr>
              <w:t>、</w:t>
            </w:r>
            <w:r>
              <w:rPr>
                <w:rStyle w:val="28"/>
                <w:rFonts w:eastAsia="宋体"/>
                <w:bdr w:val="none" w:color="auto" w:sz="0" w:space="0"/>
                <w:lang w:val="en-US" w:eastAsia="zh-CN" w:bidi="ar"/>
              </w:rPr>
              <w:t xml:space="preserve">BSL-4/ABSL-4 </w:t>
            </w:r>
            <w:r>
              <w:rPr>
                <w:rStyle w:val="27"/>
                <w:bdr w:val="none" w:color="auto" w:sz="0" w:space="0"/>
                <w:lang w:val="en-US" w:eastAsia="zh-CN" w:bidi="ar"/>
              </w:rPr>
              <w:t>实验室中进行；开展低致病性病原微生物（列入三类、四类），或经灭活的高致病性感染性材料的相关实验和研究，必须在</w:t>
            </w:r>
            <w:r>
              <w:rPr>
                <w:rStyle w:val="28"/>
                <w:rFonts w:eastAsia="宋体"/>
                <w:bdr w:val="none" w:color="auto" w:sz="0" w:space="0"/>
                <w:lang w:val="en-US" w:eastAsia="zh-CN" w:bidi="ar"/>
              </w:rPr>
              <w:t xml:space="preserve"> BSL-1/ ABSL-1</w:t>
            </w:r>
            <w:r>
              <w:rPr>
                <w:rStyle w:val="27"/>
                <w:bdr w:val="none" w:color="auto" w:sz="0" w:space="0"/>
                <w:lang w:val="en-US" w:eastAsia="zh-CN" w:bidi="ar"/>
              </w:rPr>
              <w:t>、</w:t>
            </w:r>
            <w:r>
              <w:rPr>
                <w:rStyle w:val="28"/>
                <w:rFonts w:eastAsia="宋体"/>
                <w:bdr w:val="none" w:color="auto" w:sz="0" w:space="0"/>
                <w:lang w:val="en-US" w:eastAsia="zh-CN" w:bidi="ar"/>
              </w:rPr>
              <w:t>BSL-2/ ABSL-2</w:t>
            </w:r>
            <w:r>
              <w:rPr>
                <w:rStyle w:val="27"/>
                <w:bdr w:val="none" w:color="auto" w:sz="0" w:space="0"/>
                <w:lang w:val="en-US" w:eastAsia="zh-CN" w:bidi="ar"/>
              </w:rPr>
              <w:t>或以上等级实验室中进行</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9.2</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场所与设施</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实验室安全防范设施达到相应生物安全实验室要求，各区域分布合理、气压正常</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157</w:t>
            </w:r>
            <w:r>
              <w:rPr>
                <w:rStyle w:val="27"/>
                <w:bdr w:val="none" w:color="auto" w:sz="0" w:space="0"/>
                <w:lang w:val="en-US" w:eastAsia="zh-CN" w:bidi="ar"/>
              </w:rPr>
              <w:t>）</w:t>
            </w:r>
            <w:r>
              <w:rPr>
                <w:rStyle w:val="28"/>
                <w:rFonts w:eastAsia="宋体"/>
                <w:bdr w:val="none" w:color="auto" w:sz="0" w:space="0"/>
                <w:lang w:val="en-US" w:eastAsia="zh-CN" w:bidi="ar"/>
              </w:rPr>
              <w:t xml:space="preserve">BSL-2/ABSL-2 </w:t>
            </w:r>
            <w:r>
              <w:rPr>
                <w:rStyle w:val="27"/>
                <w:bdr w:val="none" w:color="auto" w:sz="0" w:space="0"/>
                <w:lang w:val="en-US" w:eastAsia="zh-CN" w:bidi="ar"/>
              </w:rPr>
              <w:t>及以上安全等级实验室须设门禁管理和准入制度，储存病原微生物的场所或储柜配备防盗设施，</w:t>
            </w:r>
            <w:r>
              <w:rPr>
                <w:rStyle w:val="28"/>
                <w:rFonts w:eastAsia="宋体"/>
                <w:bdr w:val="none" w:color="auto" w:sz="0" w:space="0"/>
                <w:lang w:val="en-US" w:eastAsia="zh-CN" w:bidi="ar"/>
              </w:rPr>
              <w:t xml:space="preserve">BSL-3/ABSL-3 </w:t>
            </w:r>
            <w:r>
              <w:rPr>
                <w:rStyle w:val="27"/>
                <w:bdr w:val="none" w:color="auto" w:sz="0" w:space="0"/>
                <w:lang w:val="en-US" w:eastAsia="zh-CN" w:bidi="ar"/>
              </w:rPr>
              <w:t>及以上安全等级实验室须安装监控报警装置</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8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配有符合相应要求的生物安全设施</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158</w:t>
            </w:r>
            <w:r>
              <w:rPr>
                <w:rStyle w:val="27"/>
                <w:bdr w:val="none" w:color="auto" w:sz="0" w:space="0"/>
                <w:lang w:val="en-US" w:eastAsia="zh-CN" w:bidi="ar"/>
              </w:rPr>
              <w:t>）</w:t>
            </w:r>
            <w:r>
              <w:rPr>
                <w:rStyle w:val="28"/>
                <w:rFonts w:eastAsia="宋体"/>
                <w:bdr w:val="none" w:color="auto" w:sz="0" w:space="0"/>
                <w:lang w:val="en-US" w:eastAsia="zh-CN" w:bidi="ar"/>
              </w:rPr>
              <w:t xml:space="preserve">BSL-2/ABSL-2 </w:t>
            </w:r>
            <w:r>
              <w:rPr>
                <w:rStyle w:val="27"/>
                <w:bdr w:val="none" w:color="auto" w:sz="0" w:space="0"/>
                <w:lang w:val="en-US" w:eastAsia="zh-CN" w:bidi="ar"/>
              </w:rPr>
              <w:t>及以上安全等级实验室须配有</w:t>
            </w:r>
            <w:r>
              <w:rPr>
                <w:rStyle w:val="28"/>
                <w:rFonts w:eastAsia="宋体"/>
                <w:bdr w:val="none" w:color="auto" w:sz="0" w:space="0"/>
                <w:lang w:val="en-US" w:eastAsia="zh-CN" w:bidi="ar"/>
              </w:rPr>
              <w:t xml:space="preserve"> II </w:t>
            </w:r>
            <w:r>
              <w:rPr>
                <w:rStyle w:val="27"/>
                <w:bdr w:val="none" w:color="auto" w:sz="0" w:space="0"/>
                <w:lang w:val="en-US" w:eastAsia="zh-CN" w:bidi="ar"/>
              </w:rPr>
              <w:t>级生物安全柜，定期进行检测，</w:t>
            </w:r>
            <w:r>
              <w:rPr>
                <w:rStyle w:val="28"/>
                <w:rFonts w:eastAsia="宋体"/>
                <w:bdr w:val="none" w:color="auto" w:sz="0" w:space="0"/>
                <w:lang w:val="en-US" w:eastAsia="zh-CN" w:bidi="ar"/>
              </w:rPr>
              <w:t xml:space="preserve">B </w:t>
            </w:r>
            <w:r>
              <w:rPr>
                <w:rStyle w:val="27"/>
                <w:bdr w:val="none" w:color="auto" w:sz="0" w:space="0"/>
                <w:lang w:val="en-US" w:eastAsia="zh-CN" w:bidi="ar"/>
              </w:rPr>
              <w:t>型生物安全柜需有正常通风系统；</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159</w:t>
            </w:r>
            <w:r>
              <w:rPr>
                <w:rStyle w:val="27"/>
                <w:bdr w:val="none" w:color="auto" w:sz="0" w:space="0"/>
                <w:lang w:val="en-US" w:eastAsia="zh-CN" w:bidi="ar"/>
              </w:rPr>
              <w:t>）</w:t>
            </w:r>
            <w:r>
              <w:rPr>
                <w:rStyle w:val="28"/>
                <w:rFonts w:eastAsia="宋体"/>
                <w:bdr w:val="none" w:color="auto" w:sz="0" w:space="0"/>
                <w:lang w:val="en-US" w:eastAsia="zh-CN" w:bidi="ar"/>
              </w:rPr>
              <w:t xml:space="preserve">BSL-2/ABSL-2 </w:t>
            </w:r>
            <w:r>
              <w:rPr>
                <w:rStyle w:val="27"/>
                <w:bdr w:val="none" w:color="auto" w:sz="0" w:space="0"/>
                <w:lang w:val="en-US" w:eastAsia="zh-CN" w:bidi="ar"/>
              </w:rPr>
              <w:t>及以上安全等级实验室应配备消防器材和设施、应急供电（至少延时半小时），必要的应急淋浴及洗眼装置；</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160</w:t>
            </w:r>
            <w:r>
              <w:rPr>
                <w:rStyle w:val="27"/>
                <w:bdr w:val="none" w:color="auto" w:sz="0" w:space="0"/>
                <w:lang w:val="en-US" w:eastAsia="zh-CN" w:bidi="ar"/>
              </w:rPr>
              <w:t>）</w:t>
            </w:r>
            <w:r>
              <w:rPr>
                <w:rStyle w:val="28"/>
                <w:rFonts w:eastAsia="宋体"/>
                <w:bdr w:val="none" w:color="auto" w:sz="0" w:space="0"/>
                <w:lang w:val="en-US" w:eastAsia="zh-CN" w:bidi="ar"/>
              </w:rPr>
              <w:t xml:space="preserve">BSL-2/ABSL-2 </w:t>
            </w:r>
            <w:r>
              <w:rPr>
                <w:rStyle w:val="27"/>
                <w:bdr w:val="none" w:color="auto" w:sz="0" w:space="0"/>
                <w:lang w:val="en-US" w:eastAsia="zh-CN" w:bidi="ar"/>
              </w:rPr>
              <w:t>及以上安全等级实验室的传递窗功能正常、内部不存放物品安装有防虫纱窗、入口处有挡鼠板；</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161</w:t>
            </w:r>
            <w:r>
              <w:rPr>
                <w:rStyle w:val="27"/>
                <w:bdr w:val="none" w:color="auto" w:sz="0" w:space="0"/>
                <w:lang w:val="en-US" w:eastAsia="zh-CN" w:bidi="ar"/>
              </w:rPr>
              <w:t>）生物安全实验室配有压力蒸汽灭菌器，每次使用时监测灭菌效果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3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9.2.3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场所消毒要保证人员安全</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162</w:t>
            </w:r>
            <w:r>
              <w:rPr>
                <w:rStyle w:val="27"/>
                <w:bdr w:val="none" w:color="auto" w:sz="0" w:space="0"/>
                <w:lang w:val="en-US" w:eastAsia="zh-CN" w:bidi="ar"/>
              </w:rPr>
              <w:t>）使用紫外灯的生物安全实验室应设安全警示标志，尤其应对紫外灯开关张贴警示标识；</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163</w:t>
            </w:r>
            <w:r>
              <w:rPr>
                <w:rStyle w:val="27"/>
                <w:bdr w:val="none" w:color="auto" w:sz="0" w:space="0"/>
                <w:lang w:val="en-US" w:eastAsia="zh-CN" w:bidi="ar"/>
              </w:rPr>
              <w:t>）使用紫外灯的生物安全实验室在消毒过程中禁止人员进入。采用紫外加臭氧方式消毒应在消毒时间结束后有一定的排风时间，臭氧消散后人员方可进入</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9.3</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病原微生物采购与保管</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9.3.1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采购或自行分离高致病性病原微生物菌（毒）种，须办理相应申请和报批手续</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164</w:t>
            </w:r>
            <w:r>
              <w:rPr>
                <w:rStyle w:val="27"/>
                <w:bdr w:val="none" w:color="auto" w:sz="0" w:space="0"/>
                <w:lang w:val="en-US" w:eastAsia="zh-CN" w:bidi="ar"/>
              </w:rPr>
              <w:t>）采购病原微生物须从有资质的单位购买，具有相应合格证书。须按照学校流程审批，报行业主管部门批准；</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165</w:t>
            </w:r>
            <w:r>
              <w:rPr>
                <w:rStyle w:val="27"/>
                <w:bdr w:val="none" w:color="auto" w:sz="0" w:space="0"/>
                <w:lang w:val="en-US" w:eastAsia="zh-CN" w:bidi="ar"/>
              </w:rPr>
              <w:t>）转移和运输病原微生物需按规定报卫生和农业主管部门批准，并按相应的运输包装要求包装后转移和运输</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重大</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9.3.2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高致病性病原微生物菌（毒）种应妥善保存和严格管理</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166</w:t>
            </w:r>
            <w:r>
              <w:rPr>
                <w:rStyle w:val="27"/>
                <w:bdr w:val="none" w:color="auto" w:sz="0" w:space="0"/>
                <w:lang w:val="en-US" w:eastAsia="zh-CN" w:bidi="ar"/>
              </w:rPr>
              <w:t>）病原微生物菌（毒）种保存在带锁冰箱或柜子中，高致病性病原微生物实行双人双锁管理。有病原微生物菌（毒）种保存、实验使用、销毁的记录</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9.4</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人员管理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9.4.1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开展病原微生物相关实验和研究的人员经过专业培训</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167</w:t>
            </w:r>
            <w:r>
              <w:rPr>
                <w:rStyle w:val="27"/>
                <w:bdr w:val="none" w:color="auto" w:sz="0" w:space="0"/>
                <w:lang w:val="en-US" w:eastAsia="zh-CN" w:bidi="ar"/>
              </w:rPr>
              <w:t>）人员经考核合格，并取得证书</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9.4.2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为从事高致病性病原微生物的工作人员提供适宜的医学评估</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168</w:t>
            </w:r>
            <w:r>
              <w:rPr>
                <w:rStyle w:val="27"/>
                <w:bdr w:val="none" w:color="auto" w:sz="0" w:space="0"/>
                <w:lang w:val="en-US" w:eastAsia="zh-CN" w:bidi="ar"/>
              </w:rPr>
              <w:t>）实施监测和治疗方案，并妥善保存相应的医学记录。有上岗前体检和离岗体检，长期工作有定期体检</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9.4.3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制定相应的人员准入制度</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169</w:t>
            </w:r>
            <w:r>
              <w:rPr>
                <w:rStyle w:val="27"/>
                <w:bdr w:val="none" w:color="auto" w:sz="0" w:space="0"/>
                <w:lang w:val="en-US" w:eastAsia="zh-CN" w:bidi="ar"/>
              </w:rPr>
              <w:t>）外来人员进入生物安全实验室需经负责人批准，并有相关的教育培训、安全防控措施。出现感冒发热等症状时，不得进行病原微生物实验</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重大</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9.5</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操作与管理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9.5.1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制定并采用生物安全手册，有相关标准操作规范</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170</w:t>
            </w:r>
            <w:r>
              <w:rPr>
                <w:rStyle w:val="27"/>
                <w:bdr w:val="none" w:color="auto" w:sz="0" w:space="0"/>
                <w:lang w:val="en-US" w:eastAsia="zh-CN" w:bidi="ar"/>
              </w:rPr>
              <w:t>）有从事病原微生物相关实验活动的标准操作规范</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9.5.2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开展相关实验活动的风险评估和应急预案</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171</w:t>
            </w:r>
            <w:r>
              <w:rPr>
                <w:rStyle w:val="27"/>
                <w:bdr w:val="none" w:color="auto" w:sz="0" w:space="0"/>
                <w:lang w:val="en-US" w:eastAsia="zh-CN" w:bidi="ar"/>
              </w:rPr>
              <w:t>）</w:t>
            </w:r>
            <w:r>
              <w:rPr>
                <w:rStyle w:val="28"/>
                <w:rFonts w:eastAsia="宋体"/>
                <w:bdr w:val="none" w:color="auto" w:sz="0" w:space="0"/>
                <w:lang w:val="en-US" w:eastAsia="zh-CN" w:bidi="ar"/>
              </w:rPr>
              <w:t xml:space="preserve">BSL-2 /ABSL-2 </w:t>
            </w:r>
            <w:r>
              <w:rPr>
                <w:rStyle w:val="27"/>
                <w:bdr w:val="none" w:color="auto" w:sz="0" w:space="0"/>
                <w:lang w:val="en-US" w:eastAsia="zh-CN" w:bidi="ar"/>
              </w:rPr>
              <w:t>及以上等级实验室，开展病原微生物的相关实验活动应有风险评估和应急预案，包括病原微生物及感染材料溢出和意外事故的书面处置程序</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9.5.3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实验操作合规，安全防护措施合理</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172</w:t>
            </w:r>
            <w:r>
              <w:rPr>
                <w:rStyle w:val="27"/>
                <w:bdr w:val="none" w:color="auto" w:sz="0" w:space="0"/>
                <w:lang w:val="en-US" w:eastAsia="zh-CN" w:bidi="ar"/>
              </w:rPr>
              <w:t>）在合适的生物安全柜中进行实验操作；不得在超净工作台中进行病原微生物实验；</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173</w:t>
            </w:r>
            <w:r>
              <w:rPr>
                <w:rStyle w:val="27"/>
                <w:bdr w:val="none" w:color="auto" w:sz="0" w:space="0"/>
                <w:lang w:val="en-US" w:eastAsia="zh-CN" w:bidi="ar"/>
              </w:rPr>
              <w:t>）安全操作高速离心机，小心防止离心管破损或盖子破损造成溢出或气溶胶散发；</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174</w:t>
            </w:r>
            <w:r>
              <w:rPr>
                <w:rStyle w:val="27"/>
                <w:bdr w:val="none" w:color="auto" w:sz="0" w:space="0"/>
                <w:lang w:val="en-US" w:eastAsia="zh-CN" w:bidi="ar"/>
              </w:rPr>
              <w:t>）有合适的个人防护措施，禁止戴防护手套操作相关实验以外的设施设备</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9.6</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实验动物安全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9.6.1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实验动物的购买、饲养、解剖等须符合相关规定</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175</w:t>
            </w:r>
            <w:r>
              <w:rPr>
                <w:rStyle w:val="27"/>
                <w:bdr w:val="none" w:color="auto" w:sz="0" w:space="0"/>
                <w:lang w:val="en-US" w:eastAsia="zh-CN" w:bidi="ar"/>
              </w:rPr>
              <w:t>）饲养实验动物的场所应有资质证书，实验动物需从具有资质的单位购买，有合格证明，用于解剖的实验动物须经过检验检疫合格；</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176</w:t>
            </w:r>
            <w:r>
              <w:rPr>
                <w:rStyle w:val="27"/>
                <w:bdr w:val="none" w:color="auto" w:sz="0" w:space="0"/>
                <w:lang w:val="en-US" w:eastAsia="zh-CN" w:bidi="ar"/>
              </w:rPr>
              <w:t>）解剖实验动物时，必须做好个人安全防护；</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177</w:t>
            </w:r>
            <w:r>
              <w:rPr>
                <w:rStyle w:val="27"/>
                <w:bdr w:val="none" w:color="auto" w:sz="0" w:space="0"/>
                <w:lang w:val="en-US" w:eastAsia="zh-CN" w:bidi="ar"/>
              </w:rPr>
              <w:t>）定期组织健康检查</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重大</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9.6.2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动物实验按相关规定进行伦理审查，保障动物权益</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178</w:t>
            </w:r>
            <w:r>
              <w:rPr>
                <w:rStyle w:val="27"/>
                <w:bdr w:val="none" w:color="auto" w:sz="0" w:space="0"/>
                <w:lang w:val="en-US" w:eastAsia="zh-CN" w:bidi="ar"/>
              </w:rPr>
              <w:t>）学校有伦理审查机构，查看伦理审查记录</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3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9.7</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生物实验废物处置</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9.7.1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生物废弃物与其他类别废物分开，且做好防护和消杀</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181</w:t>
            </w:r>
            <w:r>
              <w:rPr>
                <w:rStyle w:val="27"/>
                <w:bdr w:val="none" w:color="auto" w:sz="0" w:space="0"/>
                <w:lang w:val="en-US" w:eastAsia="zh-CN" w:bidi="ar"/>
              </w:rPr>
              <w:t>）生物废物应与化学废物、生活垃圾等分开存储；</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182</w:t>
            </w:r>
            <w:r>
              <w:rPr>
                <w:rStyle w:val="27"/>
                <w:bdr w:val="none" w:color="auto" w:sz="0" w:space="0"/>
                <w:lang w:val="en-US" w:eastAsia="zh-CN" w:bidi="ar"/>
              </w:rPr>
              <w:t>）实验室内配备生物废物垃圾桶（内置生物废物专用塑料袋），并粘贴专用标签标识；</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183</w:t>
            </w:r>
            <w:r>
              <w:rPr>
                <w:rStyle w:val="27"/>
                <w:bdr w:val="none" w:color="auto" w:sz="0" w:space="0"/>
                <w:lang w:val="en-US" w:eastAsia="zh-CN" w:bidi="ar"/>
              </w:rPr>
              <w:t>）刀片、移液枪头等尖锐物应使用利器盒或耐扎纸板箱盛放，送储时再装入生物废物专用塑料袋，贴好标签；</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184</w:t>
            </w:r>
            <w:r>
              <w:rPr>
                <w:rStyle w:val="27"/>
                <w:bdr w:val="none" w:color="auto" w:sz="0" w:space="0"/>
                <w:lang w:val="en-US" w:eastAsia="zh-CN" w:bidi="ar"/>
              </w:rPr>
              <w:t>）动物实验结束后，动物尸体及组织应做无害化处理，废物彻底灭菌后方可处置；</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185</w:t>
            </w:r>
            <w:r>
              <w:rPr>
                <w:rStyle w:val="27"/>
                <w:bdr w:val="none" w:color="auto" w:sz="0" w:space="0"/>
                <w:lang w:val="en-US" w:eastAsia="zh-CN" w:bidi="ar"/>
              </w:rPr>
              <w:t>）涉及病原微生物或其他细菌类的生物废物必须进行高温高压灭菌或化学浸泡处理，然后由有资质的公司进行最终处置；</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186</w:t>
            </w:r>
            <w:r>
              <w:rPr>
                <w:rStyle w:val="27"/>
                <w:bdr w:val="none" w:color="auto" w:sz="0" w:space="0"/>
                <w:lang w:val="en-US" w:eastAsia="zh-CN" w:bidi="ar"/>
              </w:rPr>
              <w:t>）高致病性生物材料废物处置实现溯源追踪</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10</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辐射安全与核材料管制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10.1</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资质与人员要求</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10.1.1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辐射工作单位须取得辐射安全许可证</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187</w:t>
            </w:r>
            <w:r>
              <w:rPr>
                <w:rStyle w:val="27"/>
                <w:bdr w:val="none" w:color="auto" w:sz="0" w:space="0"/>
                <w:lang w:val="en-US" w:eastAsia="zh-CN" w:bidi="ar"/>
              </w:rPr>
              <w:t>）按规定在放射性核素种类和用量以及射线种类许可范围内开展实验。除已被豁免管理外，射线装置、放射源或者非密封放射性物质应纳入许可证范畴</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重大</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5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10.1.2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辐射工作人员须经过专门培训，定期参加职业体检</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188</w:t>
            </w:r>
            <w:r>
              <w:rPr>
                <w:rStyle w:val="27"/>
                <w:bdr w:val="none" w:color="auto" w:sz="0" w:space="0"/>
                <w:lang w:val="en-US" w:eastAsia="zh-CN" w:bidi="ar"/>
              </w:rPr>
              <w:t>）辐射工作人员具有《辐射安全与防护培训合格证书》，或者《生态环境部辐射安全与防护考核通过报告单》；</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189</w:t>
            </w:r>
            <w:r>
              <w:rPr>
                <w:rStyle w:val="27"/>
                <w:bdr w:val="none" w:color="auto" w:sz="0" w:space="0"/>
                <w:lang w:val="en-US" w:eastAsia="zh-CN" w:bidi="ar"/>
              </w:rPr>
              <w:t>）辐射工作人员按时参加放射性职业体检（</w:t>
            </w:r>
            <w:r>
              <w:rPr>
                <w:rStyle w:val="28"/>
                <w:rFonts w:eastAsia="宋体"/>
                <w:bdr w:val="none" w:color="auto" w:sz="0" w:space="0"/>
                <w:lang w:val="en-US" w:eastAsia="zh-CN" w:bidi="ar"/>
              </w:rPr>
              <w:t xml:space="preserve">2 </w:t>
            </w:r>
            <w:r>
              <w:rPr>
                <w:rStyle w:val="27"/>
                <w:bdr w:val="none" w:color="auto" w:sz="0" w:space="0"/>
                <w:lang w:val="en-US" w:eastAsia="zh-CN" w:bidi="ar"/>
              </w:rPr>
              <w:t>年</w:t>
            </w:r>
            <w:r>
              <w:rPr>
                <w:rStyle w:val="28"/>
                <w:rFonts w:eastAsia="宋体"/>
                <w:bdr w:val="none" w:color="auto" w:sz="0" w:space="0"/>
                <w:lang w:val="en-US" w:eastAsia="zh-CN" w:bidi="ar"/>
              </w:rPr>
              <w:t xml:space="preserve"> 1 </w:t>
            </w:r>
            <w:r>
              <w:rPr>
                <w:rStyle w:val="27"/>
                <w:bdr w:val="none" w:color="auto" w:sz="0" w:space="0"/>
                <w:lang w:val="en-US" w:eastAsia="zh-CN" w:bidi="ar"/>
              </w:rPr>
              <w:t>次），有健康档案；</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190</w:t>
            </w:r>
            <w:r>
              <w:rPr>
                <w:rStyle w:val="27"/>
                <w:bdr w:val="none" w:color="auto" w:sz="0" w:space="0"/>
                <w:lang w:val="en-US" w:eastAsia="zh-CN" w:bidi="ar"/>
              </w:rPr>
              <w:t>）辐射工作人员进入实验场所须佩带个人剂量计，剂量计委托有资质的单位按时进行剂量监测（</w:t>
            </w:r>
            <w:r>
              <w:rPr>
                <w:rStyle w:val="28"/>
                <w:rFonts w:eastAsia="宋体"/>
                <w:bdr w:val="none" w:color="auto" w:sz="0" w:space="0"/>
                <w:lang w:val="en-US" w:eastAsia="zh-CN" w:bidi="ar"/>
              </w:rPr>
              <w:t xml:space="preserve">3 </w:t>
            </w:r>
            <w:r>
              <w:rPr>
                <w:rStyle w:val="27"/>
                <w:bdr w:val="none" w:color="auto" w:sz="0" w:space="0"/>
                <w:lang w:val="en-US" w:eastAsia="zh-CN" w:bidi="ar"/>
              </w:rPr>
              <w:t>个月一次）</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重大</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10.1.3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核材料许可证持有单位须建立专职机构或指定专人负责保管核材料，执行国家管制条例要求。有帐目与报告制度，保证帐物相符</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191</w:t>
            </w:r>
            <w:r>
              <w:rPr>
                <w:rStyle w:val="27"/>
                <w:bdr w:val="none" w:color="auto" w:sz="0" w:space="0"/>
                <w:lang w:val="en-US" w:eastAsia="zh-CN" w:bidi="ar"/>
              </w:rPr>
              <w:t>）持有核材料数量达到法定要求的单位须取得核材料许可证，有专职机构或指定专人负责核材料管制工作，核材料衡算和核安保工作执行国家法律法规要求</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重大</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10.2</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场所设施与采购运输</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辐射设施和场所应设有警示、连锁和报警装置</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192</w:t>
            </w:r>
            <w:r>
              <w:rPr>
                <w:rStyle w:val="27"/>
                <w:bdr w:val="none" w:color="auto" w:sz="0" w:space="0"/>
                <w:lang w:val="en-US" w:eastAsia="zh-CN" w:bidi="ar"/>
              </w:rPr>
              <w:t>）放射源储存库应设</w:t>
            </w:r>
            <w:r>
              <w:rPr>
                <w:rStyle w:val="28"/>
                <w:rFonts w:eastAsia="宋体"/>
                <w:bdr w:val="none" w:color="auto" w:sz="0" w:space="0"/>
                <w:lang w:val="en-US" w:eastAsia="zh-CN" w:bidi="ar"/>
              </w:rPr>
              <w:t>“</w:t>
            </w:r>
            <w:r>
              <w:rPr>
                <w:rStyle w:val="27"/>
                <w:bdr w:val="none" w:color="auto" w:sz="0" w:space="0"/>
                <w:lang w:val="en-US" w:eastAsia="zh-CN" w:bidi="ar"/>
              </w:rPr>
              <w:t>双人双锁</w:t>
            </w:r>
            <w:r>
              <w:rPr>
                <w:rStyle w:val="28"/>
                <w:rFonts w:eastAsia="宋体"/>
                <w:bdr w:val="none" w:color="auto" w:sz="0" w:space="0"/>
                <w:lang w:val="en-US" w:eastAsia="zh-CN" w:bidi="ar"/>
              </w:rPr>
              <w:t>”</w:t>
            </w:r>
            <w:r>
              <w:rPr>
                <w:rStyle w:val="27"/>
                <w:bdr w:val="none" w:color="auto" w:sz="0" w:space="0"/>
                <w:lang w:val="en-US" w:eastAsia="zh-CN" w:bidi="ar"/>
              </w:rPr>
              <w:t>，并有安全报警系统和视频监控系统；</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193</w:t>
            </w:r>
            <w:r>
              <w:rPr>
                <w:rStyle w:val="27"/>
                <w:bdr w:val="none" w:color="auto" w:sz="0" w:space="0"/>
                <w:lang w:val="en-US" w:eastAsia="zh-CN" w:bidi="ar"/>
              </w:rPr>
              <w:t>）辐照设施设备和</w:t>
            </w:r>
            <w:r>
              <w:rPr>
                <w:rStyle w:val="28"/>
                <w:rFonts w:eastAsia="宋体"/>
                <w:bdr w:val="none" w:color="auto" w:sz="0" w:space="0"/>
                <w:lang w:val="en-US" w:eastAsia="zh-CN" w:bidi="ar"/>
              </w:rPr>
              <w:t xml:space="preserve"> 2 </w:t>
            </w:r>
            <w:r>
              <w:rPr>
                <w:rStyle w:val="27"/>
                <w:bdr w:val="none" w:color="auto" w:sz="0" w:space="0"/>
                <w:lang w:val="en-US" w:eastAsia="zh-CN" w:bidi="ar"/>
              </w:rPr>
              <w:t>类以上射线装置具有能正常工作的安全连锁装置和报警装置，有明显的安全警示标识、警戒线和剂量报警仪</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辐射实验场所每年有合格的实验场所检测报告</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194</w:t>
            </w:r>
            <w:r>
              <w:rPr>
                <w:rStyle w:val="27"/>
                <w:bdr w:val="none" w:color="auto" w:sz="0" w:space="0"/>
                <w:lang w:val="en-US" w:eastAsia="zh-CN" w:bidi="ar"/>
              </w:rPr>
              <w:t>）查看场所辐射环境监测报告</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10.2.3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放射性物质的采购、转移和运输应按规定报批</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195</w:t>
            </w:r>
            <w:r>
              <w:rPr>
                <w:rStyle w:val="27"/>
                <w:bdr w:val="none" w:color="auto" w:sz="0" w:space="0"/>
                <w:lang w:val="en-US" w:eastAsia="zh-CN" w:bidi="ar"/>
              </w:rPr>
              <w:t>）放射源和放射性物质的采购和转让转移有学校及生态环境部门的审批备案材料，采购和转让转移前必须先做环境影响评价工作；</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196</w:t>
            </w:r>
            <w:r>
              <w:rPr>
                <w:rStyle w:val="27"/>
                <w:bdr w:val="none" w:color="auto" w:sz="0" w:space="0"/>
                <w:lang w:val="en-US" w:eastAsia="zh-CN" w:bidi="ar"/>
              </w:rPr>
              <w:t>）放射性物质的转移和运输有学校及公安部门的审批备案材料；</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197</w:t>
            </w:r>
            <w:r>
              <w:rPr>
                <w:rStyle w:val="27"/>
                <w:bdr w:val="none" w:color="auto" w:sz="0" w:space="0"/>
                <w:lang w:val="en-US" w:eastAsia="zh-CN" w:bidi="ar"/>
              </w:rPr>
              <w:t>）放射源、放射性物质以及</w:t>
            </w:r>
            <w:r>
              <w:rPr>
                <w:rStyle w:val="28"/>
                <w:rFonts w:eastAsia="宋体"/>
                <w:bdr w:val="none" w:color="auto" w:sz="0" w:space="0"/>
                <w:lang w:val="en-US" w:eastAsia="zh-CN" w:bidi="ar"/>
              </w:rPr>
              <w:t xml:space="preserve"> 3 </w:t>
            </w:r>
            <w:r>
              <w:rPr>
                <w:rStyle w:val="27"/>
                <w:bdr w:val="none" w:color="auto" w:sz="0" w:space="0"/>
                <w:lang w:val="en-US" w:eastAsia="zh-CN" w:bidi="ar"/>
              </w:rPr>
              <w:t>类以上射线装置储存和使用场所变更应重新开展环境影响评价</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10.3</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放射性实验安全及废弃物处置</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10.3.1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各类放射性装置有符合国家相关规定的操作规程、安保方案及应急预案，并遵照执行</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198</w:t>
            </w:r>
            <w:r>
              <w:rPr>
                <w:rStyle w:val="27"/>
                <w:bdr w:val="none" w:color="auto" w:sz="0" w:space="0"/>
                <w:lang w:val="en-US" w:eastAsia="zh-CN" w:bidi="ar"/>
              </w:rPr>
              <w:t>）重点关注</w:t>
            </w:r>
            <w:r>
              <w:rPr>
                <w:rStyle w:val="28"/>
                <w:rFonts w:eastAsia="宋体"/>
                <w:bdr w:val="none" w:color="auto" w:sz="0" w:space="0"/>
                <w:lang w:val="en-US" w:eastAsia="zh-CN" w:bidi="ar"/>
              </w:rPr>
              <w:t>γ</w:t>
            </w:r>
            <w:r>
              <w:rPr>
                <w:rStyle w:val="27"/>
                <w:bdr w:val="none" w:color="auto" w:sz="0" w:space="0"/>
                <w:lang w:val="en-US" w:eastAsia="zh-CN" w:bidi="ar"/>
              </w:rPr>
              <w:t>辐照、电子加速器、射线探伤仪、非密封性放射性实验操作、</w:t>
            </w:r>
            <w:r>
              <w:rPr>
                <w:rStyle w:val="28"/>
                <w:rFonts w:eastAsia="宋体"/>
                <w:bdr w:val="none" w:color="auto" w:sz="0" w:space="0"/>
                <w:lang w:val="en-US" w:eastAsia="zh-CN" w:bidi="ar"/>
              </w:rPr>
              <w:t xml:space="preserve">5 </w:t>
            </w:r>
            <w:r>
              <w:rPr>
                <w:rStyle w:val="27"/>
                <w:bdr w:val="none" w:color="auto" w:sz="0" w:space="0"/>
                <w:lang w:val="en-US" w:eastAsia="zh-CN" w:bidi="ar"/>
              </w:rPr>
              <w:t>类以上的密封性放射性实验操作；</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199</w:t>
            </w:r>
            <w:r>
              <w:rPr>
                <w:rStyle w:val="27"/>
                <w:bdr w:val="none" w:color="auto" w:sz="0" w:space="0"/>
                <w:lang w:val="en-US" w:eastAsia="zh-CN" w:bidi="ar"/>
              </w:rPr>
              <w:t>）查看辐射事故应急预案及应急演练记录（每年不少于一次演练）</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95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10.3.2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放射源及设备报废时有符合国家相关规定的处置方案或回收协议</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200</w:t>
            </w:r>
            <w:r>
              <w:rPr>
                <w:rStyle w:val="27"/>
                <w:bdr w:val="none" w:color="auto" w:sz="0" w:space="0"/>
                <w:lang w:val="en-US" w:eastAsia="zh-CN" w:bidi="ar"/>
              </w:rPr>
              <w:t>）中、长半衰期核素固液废物有符合国家相关规定的处置方案或回收协议，</w:t>
            </w:r>
            <w:r>
              <w:rPr>
                <w:rStyle w:val="28"/>
                <w:rFonts w:eastAsia="宋体"/>
                <w:bdr w:val="none" w:color="auto" w:sz="0" w:space="0"/>
                <w:lang w:val="en-US" w:eastAsia="zh-CN" w:bidi="ar"/>
              </w:rPr>
              <w:t xml:space="preserve"> </w:t>
            </w:r>
            <w:r>
              <w:rPr>
                <w:rStyle w:val="27"/>
                <w:bdr w:val="none" w:color="auto" w:sz="0" w:space="0"/>
                <w:lang w:val="en-US" w:eastAsia="zh-CN" w:bidi="ar"/>
              </w:rPr>
              <w:t>短半衰期核素固液废弃物放置</w:t>
            </w:r>
            <w:r>
              <w:rPr>
                <w:rStyle w:val="28"/>
                <w:rFonts w:eastAsia="宋体"/>
                <w:bdr w:val="none" w:color="auto" w:sz="0" w:space="0"/>
                <w:lang w:val="en-US" w:eastAsia="zh-CN" w:bidi="ar"/>
              </w:rPr>
              <w:t xml:space="preserve"> 10 </w:t>
            </w:r>
            <w:r>
              <w:rPr>
                <w:rStyle w:val="27"/>
                <w:bdr w:val="none" w:color="auto" w:sz="0" w:space="0"/>
                <w:lang w:val="en-US" w:eastAsia="zh-CN" w:bidi="ar"/>
              </w:rPr>
              <w:t>个半衰期经检测达标后作为普通废物处理，并有处置记录；</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201</w:t>
            </w:r>
            <w:r>
              <w:rPr>
                <w:rStyle w:val="27"/>
                <w:bdr w:val="none" w:color="auto" w:sz="0" w:space="0"/>
                <w:lang w:val="en-US" w:eastAsia="zh-CN" w:bidi="ar"/>
              </w:rPr>
              <w:t>）报废含有放射源或可产生放射性的设备，需报学校管理部门同意，并按国家规定进行退役处置。</w:t>
            </w:r>
            <w:r>
              <w:rPr>
                <w:rStyle w:val="28"/>
                <w:rFonts w:eastAsia="宋体"/>
                <w:bdr w:val="none" w:color="auto" w:sz="0" w:space="0"/>
                <w:lang w:val="en-US" w:eastAsia="zh-CN" w:bidi="ar"/>
              </w:rPr>
              <w:t xml:space="preserve">X </w:t>
            </w:r>
            <w:r>
              <w:rPr>
                <w:rStyle w:val="27"/>
                <w:bdr w:val="none" w:color="auto" w:sz="0" w:space="0"/>
                <w:lang w:val="en-US" w:eastAsia="zh-CN" w:bidi="ar"/>
              </w:rPr>
              <w:t>光管报废时应破坏高压设备，拍照留存；</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202</w:t>
            </w:r>
            <w:r>
              <w:rPr>
                <w:rStyle w:val="27"/>
                <w:bdr w:val="none" w:color="auto" w:sz="0" w:space="0"/>
                <w:lang w:val="en-US" w:eastAsia="zh-CN" w:bidi="ar"/>
              </w:rPr>
              <w:t>）涉源实验场所退役，须按国家相关规定执行</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10.3.3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放射性废物（源）应严加管理，不得作为普通废物处理，不得擅自处置</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203</w:t>
            </w:r>
            <w:r>
              <w:rPr>
                <w:rStyle w:val="27"/>
                <w:bdr w:val="none" w:color="auto" w:sz="0" w:space="0"/>
                <w:lang w:val="en-US" w:eastAsia="zh-CN" w:bidi="ar"/>
              </w:rPr>
              <w:t>）相关实验室应当配置专门的放射性废物收集桶；放射性废液送贮前应进行固化整备；</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204</w:t>
            </w:r>
            <w:r>
              <w:rPr>
                <w:rStyle w:val="27"/>
                <w:bdr w:val="none" w:color="auto" w:sz="0" w:space="0"/>
                <w:lang w:val="en-US" w:eastAsia="zh-CN" w:bidi="ar"/>
              </w:rPr>
              <w:t>）放射性废物应及时送交城市放射性废物库收贮；</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205</w:t>
            </w:r>
            <w:r>
              <w:rPr>
                <w:rStyle w:val="27"/>
                <w:bdr w:val="none" w:color="auto" w:sz="0" w:space="0"/>
                <w:lang w:val="en-US" w:eastAsia="zh-CN" w:bidi="ar"/>
              </w:rPr>
              <w:t>）排放气态或液态放射性流出物应严格按照环评和地方生态环境部门批准的排放量和排放方式执行</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11</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机电等安全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11.1</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仪器设备常规管理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11.1.1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建立设备台账，设备上有资产标签，有明确的管理人员</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206</w:t>
            </w:r>
            <w:r>
              <w:rPr>
                <w:rStyle w:val="27"/>
                <w:bdr w:val="none" w:color="auto" w:sz="0" w:space="0"/>
                <w:lang w:val="en-US" w:eastAsia="zh-CN" w:bidi="ar"/>
              </w:rPr>
              <w:t>）查看电子或纸质台账</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11.1.2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大型、特种设备的使用需符合相关规定</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207</w:t>
            </w:r>
            <w:r>
              <w:rPr>
                <w:rStyle w:val="27"/>
                <w:bdr w:val="none" w:color="auto" w:sz="0" w:space="0"/>
                <w:lang w:val="en-US" w:eastAsia="zh-CN" w:bidi="ar"/>
              </w:rPr>
              <w:t>）大型仪器设备、高功率的设备与电路容量相匹配，有设备运行维护的记录，有安全操作规程或注意事项</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8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11.1.3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仪器设备的接地和用电符合相关要求</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208</w:t>
            </w:r>
            <w:r>
              <w:rPr>
                <w:rStyle w:val="27"/>
                <w:bdr w:val="none" w:color="auto" w:sz="0" w:space="0"/>
                <w:lang w:val="en-US" w:eastAsia="zh-CN" w:bidi="ar"/>
              </w:rPr>
              <w:t>）仪器设备接地系统应按规范要求，采用铜质材料，接地电阻不高于</w:t>
            </w:r>
            <w:r>
              <w:rPr>
                <w:rStyle w:val="28"/>
                <w:rFonts w:eastAsia="宋体"/>
                <w:bdr w:val="none" w:color="auto" w:sz="0" w:space="0"/>
                <w:lang w:val="en-US" w:eastAsia="zh-CN" w:bidi="ar"/>
              </w:rPr>
              <w:t xml:space="preserve"> 0.5 </w:t>
            </w:r>
            <w:r>
              <w:rPr>
                <w:rStyle w:val="27"/>
                <w:bdr w:val="none" w:color="auto" w:sz="0" w:space="0"/>
                <w:lang w:val="en-US" w:eastAsia="zh-CN" w:bidi="ar"/>
              </w:rPr>
              <w:t>欧；</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209</w:t>
            </w:r>
            <w:r>
              <w:rPr>
                <w:rStyle w:val="27"/>
                <w:bdr w:val="none" w:color="auto" w:sz="0" w:space="0"/>
                <w:lang w:val="en-US" w:eastAsia="zh-CN" w:bidi="ar"/>
              </w:rPr>
              <w:t>）电脑、空调、电加热器等不随意开机过夜。对于不能断电的特殊仪器设备采取必要的防护措施（如双路供电、不间断电源、监控报警等）</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6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11.1.4</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特殊设备应配备相应安全防护措施</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210</w:t>
            </w:r>
            <w:r>
              <w:rPr>
                <w:rStyle w:val="27"/>
                <w:bdr w:val="none" w:color="auto" w:sz="0" w:space="0"/>
                <w:lang w:val="en-US" w:eastAsia="zh-CN" w:bidi="ar"/>
              </w:rPr>
              <w:t>）关注高温、高压、高速运动、电磁辐射等特殊设备，对使用者有培训要求，</w:t>
            </w:r>
            <w:r>
              <w:rPr>
                <w:rStyle w:val="28"/>
                <w:rFonts w:eastAsia="宋体"/>
                <w:bdr w:val="none" w:color="auto" w:sz="0" w:space="0"/>
                <w:lang w:val="en-US" w:eastAsia="zh-CN" w:bidi="ar"/>
              </w:rPr>
              <w:t xml:space="preserve"> </w:t>
            </w:r>
            <w:r>
              <w:rPr>
                <w:rStyle w:val="27"/>
                <w:bdr w:val="none" w:color="auto" w:sz="0" w:space="0"/>
                <w:lang w:val="en-US" w:eastAsia="zh-CN" w:bidi="ar"/>
              </w:rPr>
              <w:t>有安全警示标识和安全警示线（黄色），设备安全防护措施完好；</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211</w:t>
            </w:r>
            <w:r>
              <w:rPr>
                <w:rStyle w:val="27"/>
                <w:bdr w:val="none" w:color="auto" w:sz="0" w:space="0"/>
                <w:lang w:val="en-US" w:eastAsia="zh-CN" w:bidi="ar"/>
              </w:rPr>
              <w:t>）</w:t>
            </w:r>
            <w:r>
              <w:rPr>
                <w:rStyle w:val="28"/>
                <w:rFonts w:eastAsia="宋体"/>
                <w:bdr w:val="none" w:color="auto" w:sz="0" w:space="0"/>
                <w:lang w:val="en-US" w:eastAsia="zh-CN" w:bidi="ar"/>
              </w:rPr>
              <w:t xml:space="preserve"> </w:t>
            </w:r>
            <w:r>
              <w:rPr>
                <w:rStyle w:val="27"/>
                <w:bdr w:val="none" w:color="auto" w:sz="0" w:space="0"/>
                <w:lang w:val="en-US" w:eastAsia="zh-CN" w:bidi="ar"/>
              </w:rPr>
              <w:t>自研自制设备，须充分考虑安全系数，并有安全防护措施</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9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11.2</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机械安全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机械设备应保持清洁整齐，可靠接地</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212</w:t>
            </w:r>
            <w:r>
              <w:rPr>
                <w:rStyle w:val="27"/>
                <w:bdr w:val="none" w:color="auto" w:sz="0" w:space="0"/>
                <w:lang w:val="en-US" w:eastAsia="zh-CN" w:bidi="ar"/>
              </w:rPr>
              <w:t>）机床应保持清洁整齐，严禁在床头、床面、刀架上放置物品；</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213</w:t>
            </w:r>
            <w:r>
              <w:rPr>
                <w:rStyle w:val="27"/>
                <w:bdr w:val="none" w:color="auto" w:sz="0" w:space="0"/>
                <w:lang w:val="en-US" w:eastAsia="zh-CN" w:bidi="ar"/>
              </w:rPr>
              <w:t>）机械设备可靠接地，实验结束后，应切断电源，整理好场地并将实验用具等摆放整齐，及时清理机械设备产生的废渣、废屑</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操作机械设备时实验人员应做好个人防护</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214</w:t>
            </w:r>
            <w:r>
              <w:rPr>
                <w:rStyle w:val="27"/>
                <w:bdr w:val="none" w:color="auto" w:sz="0" w:space="0"/>
                <w:lang w:val="en-US" w:eastAsia="zh-CN" w:bidi="ar"/>
              </w:rPr>
              <w:t>）个人防护用品要穿戴齐全，如工作服、工作帽、工作鞋、防护眼镜等。操作冷加工设备必须穿</w:t>
            </w:r>
            <w:r>
              <w:rPr>
                <w:rStyle w:val="28"/>
                <w:rFonts w:eastAsia="宋体"/>
                <w:bdr w:val="none" w:color="auto" w:sz="0" w:space="0"/>
                <w:lang w:val="en-US" w:eastAsia="zh-CN" w:bidi="ar"/>
              </w:rPr>
              <w:t>“</w:t>
            </w:r>
            <w:r>
              <w:rPr>
                <w:rStyle w:val="27"/>
                <w:bdr w:val="none" w:color="auto" w:sz="0" w:space="0"/>
                <w:lang w:val="en-US" w:eastAsia="zh-CN" w:bidi="ar"/>
              </w:rPr>
              <w:t>三紧式</w:t>
            </w:r>
            <w:r>
              <w:rPr>
                <w:rStyle w:val="28"/>
                <w:rFonts w:eastAsia="宋体"/>
                <w:bdr w:val="none" w:color="auto" w:sz="0" w:space="0"/>
                <w:lang w:val="en-US" w:eastAsia="zh-CN" w:bidi="ar"/>
              </w:rPr>
              <w:t>”</w:t>
            </w:r>
            <w:r>
              <w:rPr>
                <w:rStyle w:val="27"/>
                <w:bdr w:val="none" w:color="auto" w:sz="0" w:space="0"/>
                <w:lang w:val="en-US" w:eastAsia="zh-CN" w:bidi="ar"/>
              </w:rPr>
              <w:t>工作服，不能留长发（长发要盘在工作帽内），禁止戴手套；</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215</w:t>
            </w:r>
            <w:r>
              <w:rPr>
                <w:rStyle w:val="27"/>
                <w:bdr w:val="none" w:color="auto" w:sz="0" w:space="0"/>
                <w:lang w:val="en-US" w:eastAsia="zh-CN" w:bidi="ar"/>
              </w:rPr>
              <w:t>）进入高速切削机械操作工作场所，穿好工作服工作鞋、戴好防护眼镜、扣紧衣袖口，戴好工作帽（长发学生必须将长发盘在工作帽内），禁止戴手套、长围巾、领带、手镯等配饰物，禁穿拖鞋、高跟鞋等。设备运转时严禁用手调整工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铸锻及热处理实验应满足场地和防护要求</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216</w:t>
            </w:r>
            <w:r>
              <w:rPr>
                <w:rStyle w:val="27"/>
                <w:bdr w:val="none" w:color="auto" w:sz="0" w:space="0"/>
                <w:lang w:val="en-US" w:eastAsia="zh-CN" w:bidi="ar"/>
              </w:rPr>
              <w:t>）铸造实验场地宽敞、通道畅通，使用设备前，操作者按要求穿戴好防护用品；</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217</w:t>
            </w:r>
            <w:r>
              <w:rPr>
                <w:rStyle w:val="27"/>
                <w:bdr w:val="none" w:color="auto" w:sz="0" w:space="0"/>
                <w:lang w:val="en-US" w:eastAsia="zh-CN" w:bidi="ar"/>
              </w:rPr>
              <w:t>）盐浴炉加热零件必须预先烘干，并用铁丝绑牢，缓慢放入炉中，以防盐液炸崩烫伤；</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218</w:t>
            </w:r>
            <w:r>
              <w:rPr>
                <w:rStyle w:val="27"/>
                <w:bdr w:val="none" w:color="auto" w:sz="0" w:space="0"/>
                <w:lang w:val="en-US" w:eastAsia="zh-CN" w:bidi="ar"/>
              </w:rPr>
              <w:t>）淬火油槽不得有水，油量不能过少，以免发生火灾；</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219</w:t>
            </w:r>
            <w:r>
              <w:rPr>
                <w:rStyle w:val="27"/>
                <w:bdr w:val="none" w:color="auto" w:sz="0" w:space="0"/>
                <w:lang w:val="en-US" w:eastAsia="zh-CN" w:bidi="ar"/>
              </w:rPr>
              <w:t>）与铁水接触的一切工具，使用前必须加热，严禁将冷的工具伸入铁水内，以免引起爆炸；</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220</w:t>
            </w:r>
            <w:r>
              <w:rPr>
                <w:rStyle w:val="27"/>
                <w:bdr w:val="none" w:color="auto" w:sz="0" w:space="0"/>
                <w:lang w:val="en-US" w:eastAsia="zh-CN" w:bidi="ar"/>
              </w:rPr>
              <w:t>）锻压设备不得空打或大力敲打过薄锻件，锻造时锻件应达到</w:t>
            </w:r>
            <w:r>
              <w:rPr>
                <w:rStyle w:val="28"/>
                <w:rFonts w:eastAsia="宋体"/>
                <w:bdr w:val="none" w:color="auto" w:sz="0" w:space="0"/>
                <w:lang w:val="en-US" w:eastAsia="zh-CN" w:bidi="ar"/>
              </w:rPr>
              <w:t xml:space="preserve"> 850 </w:t>
            </w:r>
            <w:r>
              <w:rPr>
                <w:rStyle w:val="27"/>
                <w:bdr w:val="none" w:color="auto" w:sz="0" w:space="0"/>
                <w:lang w:val="en-US" w:eastAsia="zh-CN" w:bidi="ar"/>
              </w:rPr>
              <w:t>℃以上，锻锤空置时应垫有木块</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11.2.4</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高空作业应符合相关操作规程</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221</w:t>
            </w:r>
            <w:r>
              <w:rPr>
                <w:rStyle w:val="27"/>
                <w:bdr w:val="none" w:color="auto" w:sz="0" w:space="0"/>
                <w:lang w:val="en-US" w:eastAsia="zh-CN" w:bidi="ar"/>
              </w:rPr>
              <w:t>）</w:t>
            </w:r>
            <w:r>
              <w:rPr>
                <w:rStyle w:val="28"/>
                <w:rFonts w:eastAsia="宋体"/>
                <w:bdr w:val="none" w:color="auto" w:sz="0" w:space="0"/>
                <w:lang w:val="en-US" w:eastAsia="zh-CN" w:bidi="ar"/>
              </w:rPr>
              <w:t xml:space="preserve"> </w:t>
            </w:r>
            <w:r>
              <w:rPr>
                <w:rStyle w:val="27"/>
                <w:bdr w:val="none" w:color="auto" w:sz="0" w:space="0"/>
                <w:lang w:val="en-US" w:eastAsia="zh-CN" w:bidi="ar"/>
              </w:rPr>
              <w:t>在坠落高度基准面</w:t>
            </w:r>
            <w:r>
              <w:rPr>
                <w:rStyle w:val="28"/>
                <w:rFonts w:eastAsia="宋体"/>
                <w:bdr w:val="none" w:color="auto" w:sz="0" w:space="0"/>
                <w:lang w:val="en-US" w:eastAsia="zh-CN" w:bidi="ar"/>
              </w:rPr>
              <w:t xml:space="preserve"> 2 </w:t>
            </w:r>
            <w:r>
              <w:rPr>
                <w:rStyle w:val="27"/>
                <w:bdr w:val="none" w:color="auto" w:sz="0" w:space="0"/>
                <w:lang w:val="en-US" w:eastAsia="zh-CN" w:bidi="ar"/>
              </w:rPr>
              <w:t>米及以上有可能坠落的高处进行作业，须穿防滑鞋、佩戴安全帽、使用安全带；</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222</w:t>
            </w:r>
            <w:r>
              <w:rPr>
                <w:rStyle w:val="27"/>
                <w:bdr w:val="none" w:color="auto" w:sz="0" w:space="0"/>
                <w:lang w:val="en-US" w:eastAsia="zh-CN" w:bidi="ar"/>
              </w:rPr>
              <w:t>）</w:t>
            </w:r>
            <w:r>
              <w:rPr>
                <w:rStyle w:val="28"/>
                <w:rFonts w:eastAsia="宋体"/>
                <w:bdr w:val="none" w:color="auto" w:sz="0" w:space="0"/>
                <w:lang w:val="en-US" w:eastAsia="zh-CN" w:bidi="ar"/>
              </w:rPr>
              <w:t xml:space="preserve"> </w:t>
            </w:r>
            <w:r>
              <w:rPr>
                <w:rStyle w:val="27"/>
                <w:bdr w:val="none" w:color="auto" w:sz="0" w:space="0"/>
                <w:lang w:val="en-US" w:eastAsia="zh-CN" w:bidi="ar"/>
              </w:rPr>
              <w:t>临边作业须在临空一侧设置防护栏杆，有相关安全操作规程</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11.3</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电气安全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11.3.1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电气设备的使用应符合用电安全规范</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223</w:t>
            </w:r>
            <w:r>
              <w:rPr>
                <w:rStyle w:val="27"/>
                <w:bdr w:val="none" w:color="auto" w:sz="0" w:space="0"/>
                <w:lang w:val="en-US" w:eastAsia="zh-CN" w:bidi="ar"/>
              </w:rPr>
              <w:t>）各种电器设备及电线应始终保持干燥，防止浸湿，以防短路引起火灾或烧坏电气设备；</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224</w:t>
            </w:r>
            <w:r>
              <w:rPr>
                <w:rStyle w:val="27"/>
                <w:bdr w:val="none" w:color="auto" w:sz="0" w:space="0"/>
                <w:lang w:val="en-US" w:eastAsia="zh-CN" w:bidi="ar"/>
              </w:rPr>
              <w:t>）试验室内的功能间墙面都应设有专用接地母排，并设有多点接地引出端；</w:t>
            </w:r>
            <w:r>
              <w:rPr>
                <w:rStyle w:val="28"/>
                <w:rFonts w:eastAsia="宋体"/>
                <w:bdr w:val="none" w:color="auto" w:sz="0" w:space="0"/>
                <w:lang w:val="en-US" w:eastAsia="zh-CN" w:bidi="ar"/>
              </w:rPr>
              <w:t xml:space="preserve">                                                                                                              </w:t>
            </w:r>
            <w:r>
              <w:rPr>
                <w:rStyle w:val="27"/>
                <w:bdr w:val="none" w:color="auto" w:sz="0" w:space="0"/>
                <w:lang w:val="en-US" w:eastAsia="zh-CN" w:bidi="ar"/>
              </w:rPr>
              <w:t>（</w:t>
            </w:r>
            <w:r>
              <w:rPr>
                <w:rStyle w:val="28"/>
                <w:rFonts w:eastAsia="宋体"/>
                <w:bdr w:val="none" w:color="auto" w:sz="0" w:space="0"/>
                <w:lang w:val="en-US" w:eastAsia="zh-CN" w:bidi="ar"/>
              </w:rPr>
              <w:t>225</w:t>
            </w:r>
            <w:r>
              <w:rPr>
                <w:rStyle w:val="27"/>
                <w:bdr w:val="none" w:color="auto" w:sz="0" w:space="0"/>
                <w:lang w:val="en-US" w:eastAsia="zh-CN" w:bidi="ar"/>
              </w:rPr>
              <w:t>）应为设备配备残余电流泄放专用的接地系统；</w:t>
            </w:r>
            <w:r>
              <w:rPr>
                <w:rStyle w:val="28"/>
                <w:rFonts w:eastAsia="宋体"/>
                <w:bdr w:val="none" w:color="auto" w:sz="0" w:space="0"/>
                <w:lang w:val="en-US" w:eastAsia="zh-CN" w:bidi="ar"/>
              </w:rPr>
              <w:t xml:space="preserve">                                                                 </w:t>
            </w:r>
            <w:r>
              <w:rPr>
                <w:rStyle w:val="27"/>
                <w:bdr w:val="none" w:color="auto" w:sz="0" w:space="0"/>
                <w:lang w:val="en-US" w:eastAsia="zh-CN" w:bidi="ar"/>
              </w:rPr>
              <w:t>（</w:t>
            </w:r>
            <w:r>
              <w:rPr>
                <w:rStyle w:val="28"/>
                <w:rFonts w:eastAsia="宋体"/>
                <w:bdr w:val="none" w:color="auto" w:sz="0" w:space="0"/>
                <w:lang w:val="en-US" w:eastAsia="zh-CN" w:bidi="ar"/>
              </w:rPr>
              <w:t>226</w:t>
            </w:r>
            <w:r>
              <w:rPr>
                <w:rStyle w:val="27"/>
                <w:bdr w:val="none" w:color="auto" w:sz="0" w:space="0"/>
                <w:lang w:val="en-US" w:eastAsia="zh-CN" w:bidi="ar"/>
              </w:rPr>
              <w:t>）强磁设备应配备与大地相连的金属屏蔽网</w:t>
            </w:r>
            <w:r>
              <w:rPr>
                <w:rStyle w:val="28"/>
                <w:rFonts w:eastAsia="宋体"/>
                <w:bdr w:val="none" w:color="auto" w:sz="0" w:space="0"/>
                <w:lang w:val="en-US" w:eastAsia="zh-CN" w:bidi="ar"/>
              </w:rPr>
              <w:t xml:space="preserve">        </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硬件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84"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11.3.1</w:t>
            </w:r>
          </w:p>
        </w:tc>
        <w:tc>
          <w:tcPr>
            <w:tcW w:w="35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电气设备的使用应符合用电安全规范</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227</w:t>
            </w:r>
            <w:r>
              <w:rPr>
                <w:rStyle w:val="27"/>
                <w:bdr w:val="none" w:color="auto" w:sz="0" w:space="0"/>
                <w:lang w:val="en-US" w:eastAsia="zh-CN" w:bidi="ar"/>
              </w:rPr>
              <w:t>）、大电流等强电实验室要设定安全距离，按规定设置安全警示牌、安全信号灯、联动式警铃、门锁，有安全隔离装置或屏蔽遮栏（由金属制成，并可靠接地，高度不低于</w:t>
            </w:r>
            <w:r>
              <w:rPr>
                <w:rStyle w:val="28"/>
                <w:rFonts w:eastAsia="宋体"/>
                <w:bdr w:val="none" w:color="auto" w:sz="0" w:space="0"/>
                <w:lang w:val="en-US" w:eastAsia="zh-CN" w:bidi="ar"/>
              </w:rPr>
              <w:t xml:space="preserve"> 2 </w:t>
            </w:r>
            <w:r>
              <w:rPr>
                <w:rStyle w:val="27"/>
                <w:bdr w:val="none" w:color="auto" w:sz="0" w:space="0"/>
                <w:lang w:val="en-US" w:eastAsia="zh-CN" w:bidi="ar"/>
              </w:rPr>
              <w:t>米）；</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228</w:t>
            </w:r>
            <w:r>
              <w:rPr>
                <w:rStyle w:val="27"/>
                <w:bdr w:val="none" w:color="auto" w:sz="0" w:space="0"/>
                <w:lang w:val="en-US" w:eastAsia="zh-CN" w:bidi="ar"/>
              </w:rPr>
              <w:t>）控制室（控制台）应铺橡胶、绝缘垫等；</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229</w:t>
            </w:r>
            <w:r>
              <w:rPr>
                <w:rStyle w:val="27"/>
                <w:bdr w:val="none" w:color="auto" w:sz="0" w:space="0"/>
                <w:lang w:val="en-US" w:eastAsia="zh-CN" w:bidi="ar"/>
              </w:rPr>
              <w:t>）强电实验室禁止存放易燃、易爆、易腐品，保持通风散热；</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230</w:t>
            </w:r>
            <w:r>
              <w:rPr>
                <w:rStyle w:val="27"/>
                <w:bdr w:val="none" w:color="auto" w:sz="0" w:space="0"/>
                <w:lang w:val="en-US" w:eastAsia="zh-CN" w:bidi="ar"/>
              </w:rPr>
              <w:t>）禁止在有可燃气体泄露隐患的环境中使用电动工具；电烙铁有专门搁架，</w:t>
            </w:r>
            <w:r>
              <w:rPr>
                <w:rStyle w:val="28"/>
                <w:rFonts w:eastAsia="宋体"/>
                <w:bdr w:val="none" w:color="auto" w:sz="0" w:space="0"/>
                <w:lang w:val="en-US" w:eastAsia="zh-CN" w:bidi="ar"/>
              </w:rPr>
              <w:t xml:space="preserve"> </w:t>
            </w:r>
            <w:r>
              <w:rPr>
                <w:rStyle w:val="27"/>
                <w:bdr w:val="none" w:color="auto" w:sz="0" w:space="0"/>
                <w:lang w:val="en-US" w:eastAsia="zh-CN" w:bidi="ar"/>
              </w:rPr>
              <w:t>用毕立即切断电源；</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231</w:t>
            </w:r>
            <w:r>
              <w:rPr>
                <w:rStyle w:val="27"/>
                <w:bdr w:val="none" w:color="auto" w:sz="0" w:space="0"/>
                <w:lang w:val="en-US" w:eastAsia="zh-CN" w:bidi="ar"/>
              </w:rPr>
              <w:t>）强磁设备应配备与大地相连的金属屏蔽网</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35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232</w:t>
            </w:r>
            <w:r>
              <w:rPr>
                <w:rStyle w:val="27"/>
                <w:bdr w:val="none" w:color="auto" w:sz="0" w:space="0"/>
                <w:lang w:val="en-US" w:eastAsia="zh-CN" w:bidi="ar"/>
              </w:rPr>
              <w:t>）在实验室给电动车或大功率电池充电</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重大</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11.3.2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操作电气设备应配备合适的防护器具</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233</w:t>
            </w:r>
            <w:r>
              <w:rPr>
                <w:rStyle w:val="27"/>
                <w:bdr w:val="none" w:color="auto" w:sz="0" w:space="0"/>
                <w:lang w:val="en-US" w:eastAsia="zh-CN" w:bidi="ar"/>
              </w:rPr>
              <w:t>）强电类实验必须二人（含）以上，操作时应戴绝缘手套；防护器具按规定进行周期试验或定期更换；静电场所，要保持空气湿润，工作人员要穿戴防静电服、手套和鞋靴</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11.4</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激光安全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11.4.1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激光实验室配有完备的安全屏蔽设施</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234</w:t>
            </w:r>
            <w:r>
              <w:rPr>
                <w:rStyle w:val="27"/>
                <w:bdr w:val="none" w:color="auto" w:sz="0" w:space="0"/>
                <w:lang w:val="en-US" w:eastAsia="zh-CN" w:bidi="ar"/>
              </w:rPr>
              <w:t>）功率较大的激光器有互锁装置、防护罩，激光照射方向不会对他人造成伤害，防止激光发射口及反射镜上扬</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11.4.2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激光实验时须佩戴合适的个人防护用具</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235</w:t>
            </w:r>
            <w:r>
              <w:rPr>
                <w:rStyle w:val="27"/>
                <w:bdr w:val="none" w:color="auto" w:sz="0" w:space="0"/>
                <w:lang w:val="en-US" w:eastAsia="zh-CN" w:bidi="ar"/>
              </w:rPr>
              <w:t>）操作人员穿戴防护眼镜等防护用品、不带手表等能反光的物品，禁止直视激光束和它的反向光束，禁止对激光器件做任何目视准直操作，禁止用眼睛检查激光器故障，激光器必须在断电情况下进行检查</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11.4.3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警告标识</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236</w:t>
            </w:r>
            <w:r>
              <w:rPr>
                <w:rStyle w:val="27"/>
                <w:bdr w:val="none" w:color="auto" w:sz="0" w:space="0"/>
                <w:lang w:val="en-US" w:eastAsia="zh-CN" w:bidi="ar"/>
              </w:rPr>
              <w:t>）所有激光区域内张贴警告标识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11.5</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粉尘安全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11.5.1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粉尘爆炸危险场所，应选用防爆型的电气设备</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237</w:t>
            </w:r>
            <w:r>
              <w:rPr>
                <w:rStyle w:val="27"/>
                <w:bdr w:val="none" w:color="auto" w:sz="0" w:space="0"/>
                <w:lang w:val="en-US" w:eastAsia="zh-CN" w:bidi="ar"/>
              </w:rPr>
              <w:t>）防爆灯、防爆电气开关，导线敷设应选用镀锌管或水煤气管，必须达到整体防爆要求；</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238</w:t>
            </w:r>
            <w:r>
              <w:rPr>
                <w:rStyle w:val="27"/>
                <w:bdr w:val="none" w:color="auto" w:sz="0" w:space="0"/>
                <w:lang w:val="en-US" w:eastAsia="zh-CN" w:bidi="ar"/>
              </w:rPr>
              <w:t>）粉尘加工要有除尘装置，除尘器符合防静电安全要求，除尘设施应有阻爆、隔爆、泄爆装置，使用工具具有防爆功能或不产生火花</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11.5.2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产生粉尘的实验场所，须穿戴合适的个人防护用具</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239</w:t>
            </w:r>
            <w:r>
              <w:rPr>
                <w:rStyle w:val="27"/>
                <w:bdr w:val="none" w:color="auto" w:sz="0" w:space="0"/>
                <w:lang w:val="en-US" w:eastAsia="zh-CN" w:bidi="ar"/>
              </w:rPr>
              <w:t>）粉尘爆炸危险场所应穿防静电棉质衣服，禁止穿化纤材料制作的衣服，工作时必须佩戴防尘口罩和护耳器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11.5.3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确保实验室粉尘浓度在爆炸限以下，并配备灭火装置</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240</w:t>
            </w:r>
            <w:r>
              <w:rPr>
                <w:rStyle w:val="27"/>
                <w:bdr w:val="none" w:color="auto" w:sz="0" w:space="0"/>
                <w:lang w:val="en-US" w:eastAsia="zh-CN" w:bidi="ar"/>
              </w:rPr>
              <w:t>）粉尘浓度较高的场所，适当配备加湿装置；配备合适的灭火装置</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12</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特种设备与常规冷热设备</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12.1</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起重类设备</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额定起重量大于规定值的设备须取得《特种设备使用登记证》</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241</w:t>
            </w:r>
            <w:r>
              <w:rPr>
                <w:rStyle w:val="27"/>
                <w:bdr w:val="none" w:color="auto" w:sz="0" w:space="0"/>
                <w:lang w:val="en-US" w:eastAsia="zh-CN" w:bidi="ar"/>
              </w:rPr>
              <w:t>）额定起重量大于或者等于</w:t>
            </w:r>
            <w:r>
              <w:rPr>
                <w:rStyle w:val="28"/>
                <w:rFonts w:eastAsia="宋体"/>
                <w:bdr w:val="none" w:color="auto" w:sz="0" w:space="0"/>
                <w:lang w:val="en-US" w:eastAsia="zh-CN" w:bidi="ar"/>
              </w:rPr>
              <w:t xml:space="preserve"> 0.5t </w:t>
            </w:r>
            <w:r>
              <w:rPr>
                <w:rStyle w:val="27"/>
                <w:bdr w:val="none" w:color="auto" w:sz="0" w:space="0"/>
                <w:lang w:val="en-US" w:eastAsia="zh-CN" w:bidi="ar"/>
              </w:rPr>
              <w:t>的升降机；额定起重量大于或者等于</w:t>
            </w:r>
            <w:r>
              <w:rPr>
                <w:rStyle w:val="28"/>
                <w:rFonts w:eastAsia="宋体"/>
                <w:bdr w:val="none" w:color="auto" w:sz="0" w:space="0"/>
                <w:lang w:val="en-US" w:eastAsia="zh-CN" w:bidi="ar"/>
              </w:rPr>
              <w:t xml:space="preserve"> 3t</w:t>
            </w:r>
            <w:r>
              <w:rPr>
                <w:rStyle w:val="27"/>
                <w:bdr w:val="none" w:color="auto" w:sz="0" w:space="0"/>
                <w:lang w:val="en-US" w:eastAsia="zh-CN" w:bidi="ar"/>
              </w:rPr>
              <w:t>（或额定起重力矩大于或者等于</w:t>
            </w:r>
            <w:r>
              <w:rPr>
                <w:rStyle w:val="28"/>
                <w:rFonts w:eastAsia="宋体"/>
                <w:bdr w:val="none" w:color="auto" w:sz="0" w:space="0"/>
                <w:lang w:val="en-US" w:eastAsia="zh-CN" w:bidi="ar"/>
              </w:rPr>
              <w:t xml:space="preserve"> 40tꞏm </w:t>
            </w:r>
            <w:r>
              <w:rPr>
                <w:rStyle w:val="27"/>
                <w:bdr w:val="none" w:color="auto" w:sz="0" w:space="0"/>
                <w:lang w:val="en-US" w:eastAsia="zh-CN" w:bidi="ar"/>
              </w:rPr>
              <w:t>的塔式起重机，或生产率大于或者等于</w:t>
            </w:r>
            <w:r>
              <w:rPr>
                <w:rStyle w:val="28"/>
                <w:rFonts w:eastAsia="宋体"/>
                <w:bdr w:val="none" w:color="auto" w:sz="0" w:space="0"/>
                <w:lang w:val="en-US" w:eastAsia="zh-CN" w:bidi="ar"/>
              </w:rPr>
              <w:t xml:space="preserve"> 300t/h </w:t>
            </w:r>
            <w:r>
              <w:rPr>
                <w:rStyle w:val="27"/>
                <w:bdr w:val="none" w:color="auto" w:sz="0" w:space="0"/>
                <w:lang w:val="en-US" w:eastAsia="zh-CN" w:bidi="ar"/>
              </w:rPr>
              <w:t>的装卸桥），且提升高度大于或者等于</w:t>
            </w:r>
            <w:r>
              <w:rPr>
                <w:rStyle w:val="28"/>
                <w:rFonts w:eastAsia="宋体"/>
                <w:bdr w:val="none" w:color="auto" w:sz="0" w:space="0"/>
                <w:lang w:val="en-US" w:eastAsia="zh-CN" w:bidi="ar"/>
              </w:rPr>
              <w:t xml:space="preserve"> 2m </w:t>
            </w:r>
            <w:r>
              <w:rPr>
                <w:rStyle w:val="27"/>
                <w:bdr w:val="none" w:color="auto" w:sz="0" w:space="0"/>
                <w:lang w:val="en-US" w:eastAsia="zh-CN" w:bidi="ar"/>
              </w:rPr>
              <w:t>的起重机；层数大于或者等于</w:t>
            </w:r>
            <w:r>
              <w:rPr>
                <w:rStyle w:val="28"/>
                <w:rFonts w:eastAsia="宋体"/>
                <w:bdr w:val="none" w:color="auto" w:sz="0" w:space="0"/>
                <w:lang w:val="en-US" w:eastAsia="zh-CN" w:bidi="ar"/>
              </w:rPr>
              <w:t xml:space="preserve"> 2 </w:t>
            </w:r>
            <w:r>
              <w:rPr>
                <w:rStyle w:val="27"/>
                <w:bdr w:val="none" w:color="auto" w:sz="0" w:space="0"/>
                <w:lang w:val="en-US" w:eastAsia="zh-CN" w:bidi="ar"/>
              </w:rPr>
              <w:t>层的机械式停车设备，须取得《特种设备使用登记证》</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8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起重机械作业人员、检验单位须有相关资质</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242</w:t>
            </w:r>
            <w:r>
              <w:rPr>
                <w:rStyle w:val="27"/>
                <w:bdr w:val="none" w:color="auto" w:sz="0" w:space="0"/>
                <w:lang w:val="en-US" w:eastAsia="zh-CN" w:bidi="ar"/>
              </w:rPr>
              <w:t>）起重机指挥、起重机司机须取得《特种设备作业人员证》，持证上岗，并每</w:t>
            </w:r>
            <w:r>
              <w:rPr>
                <w:rStyle w:val="28"/>
                <w:rFonts w:eastAsia="宋体"/>
                <w:bdr w:val="none" w:color="auto" w:sz="0" w:space="0"/>
                <w:lang w:val="en-US" w:eastAsia="zh-CN" w:bidi="ar"/>
              </w:rPr>
              <w:t xml:space="preserve">4 </w:t>
            </w:r>
            <w:r>
              <w:rPr>
                <w:rStyle w:val="27"/>
                <w:bdr w:val="none" w:color="auto" w:sz="0" w:space="0"/>
                <w:lang w:val="en-US" w:eastAsia="zh-CN" w:bidi="ar"/>
              </w:rPr>
              <w:t>年复审一次；</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243</w:t>
            </w:r>
            <w:r>
              <w:rPr>
                <w:rStyle w:val="27"/>
                <w:bdr w:val="none" w:color="auto" w:sz="0" w:space="0"/>
                <w:lang w:val="en-US" w:eastAsia="zh-CN" w:bidi="ar"/>
              </w:rPr>
              <w:t>）委托有资质单位进行定期检验，并将定期检验合格证置于特种设备显著位置</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3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12.1.3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起重机械需定期保养，设置警示标识，安装防护设施</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244</w:t>
            </w:r>
            <w:r>
              <w:rPr>
                <w:rStyle w:val="27"/>
                <w:bdr w:val="none" w:color="auto" w:sz="0" w:space="0"/>
                <w:lang w:val="en-US" w:eastAsia="zh-CN" w:bidi="ar"/>
              </w:rPr>
              <w:t>）在用起重机械至少每月进行一次日常维护保养和自行检查，并作记录；</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245</w:t>
            </w:r>
            <w:r>
              <w:rPr>
                <w:rStyle w:val="27"/>
                <w:bdr w:val="none" w:color="auto" w:sz="0" w:space="0"/>
                <w:lang w:val="en-US" w:eastAsia="zh-CN" w:bidi="ar"/>
              </w:rPr>
              <w:t>）制定安全操作规程，并在周边醒目位置张贴警示标识，有必要的防护措施；</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246</w:t>
            </w:r>
            <w:r>
              <w:rPr>
                <w:rStyle w:val="27"/>
                <w:bdr w:val="none" w:color="auto" w:sz="0" w:space="0"/>
                <w:lang w:val="en-US" w:eastAsia="zh-CN" w:bidi="ar"/>
              </w:rPr>
              <w:t>）起重设备声光报警正常，室内起重设备应标有运行通道；</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247</w:t>
            </w:r>
            <w:r>
              <w:rPr>
                <w:rStyle w:val="27"/>
                <w:bdr w:val="none" w:color="auto" w:sz="0" w:space="0"/>
                <w:lang w:val="en-US" w:eastAsia="zh-CN" w:bidi="ar"/>
              </w:rPr>
              <w:t>）废弃不用的起重机械应及时拆除</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12.2</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压力容器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1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12.2.1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规定压力容器须取得《特种设备使用登记证》</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248</w:t>
            </w:r>
            <w:r>
              <w:rPr>
                <w:rStyle w:val="27"/>
                <w:bdr w:val="none" w:color="auto" w:sz="0" w:space="0"/>
                <w:lang w:val="en-US" w:eastAsia="zh-CN" w:bidi="ar"/>
              </w:rPr>
              <w:t>）最高工作压力大于或者等于</w:t>
            </w:r>
            <w:r>
              <w:rPr>
                <w:rStyle w:val="28"/>
                <w:rFonts w:eastAsia="宋体"/>
                <w:bdr w:val="none" w:color="auto" w:sz="0" w:space="0"/>
                <w:lang w:val="en-US" w:eastAsia="zh-CN" w:bidi="ar"/>
              </w:rPr>
              <w:t xml:space="preserve"> 0.1MPa</w:t>
            </w:r>
            <w:r>
              <w:rPr>
                <w:rStyle w:val="27"/>
                <w:bdr w:val="none" w:color="auto" w:sz="0" w:space="0"/>
                <w:lang w:val="en-US" w:eastAsia="zh-CN" w:bidi="ar"/>
              </w:rPr>
              <w:t>（表压）的气体、液化气体和最高工作温度高于或者等于标准沸点的液体、容积大于或者等于</w:t>
            </w:r>
            <w:r>
              <w:rPr>
                <w:rStyle w:val="28"/>
                <w:rFonts w:eastAsia="宋体"/>
                <w:bdr w:val="none" w:color="auto" w:sz="0" w:space="0"/>
                <w:lang w:val="en-US" w:eastAsia="zh-CN" w:bidi="ar"/>
              </w:rPr>
              <w:t xml:space="preserve"> 30L </w:t>
            </w:r>
            <w:r>
              <w:rPr>
                <w:rStyle w:val="27"/>
                <w:bdr w:val="none" w:color="auto" w:sz="0" w:space="0"/>
                <w:lang w:val="en-US" w:eastAsia="zh-CN" w:bidi="ar"/>
              </w:rPr>
              <w:t>且内直径（非圆形截面指截面内边界最大几何尺寸）大于或者等于</w:t>
            </w:r>
            <w:r>
              <w:rPr>
                <w:rStyle w:val="28"/>
                <w:rFonts w:eastAsia="宋体"/>
                <w:bdr w:val="none" w:color="auto" w:sz="0" w:space="0"/>
                <w:lang w:val="en-US" w:eastAsia="zh-CN" w:bidi="ar"/>
              </w:rPr>
              <w:t xml:space="preserve"> 150mm </w:t>
            </w:r>
            <w:r>
              <w:rPr>
                <w:rStyle w:val="27"/>
                <w:bdr w:val="none" w:color="auto" w:sz="0" w:space="0"/>
                <w:lang w:val="en-US" w:eastAsia="zh-CN" w:bidi="ar"/>
              </w:rPr>
              <w:t>的固定式容器和移动式容器；</w:t>
            </w:r>
            <w:r>
              <w:rPr>
                <w:rStyle w:val="28"/>
                <w:rFonts w:eastAsia="宋体"/>
                <w:bdr w:val="none" w:color="auto" w:sz="0" w:space="0"/>
                <w:lang w:val="en-US" w:eastAsia="zh-CN" w:bidi="ar"/>
              </w:rPr>
              <w:t xml:space="preserve"> </w:t>
            </w:r>
            <w:r>
              <w:rPr>
                <w:rStyle w:val="27"/>
                <w:bdr w:val="none" w:color="auto" w:sz="0" w:space="0"/>
                <w:lang w:val="en-US" w:eastAsia="zh-CN" w:bidi="ar"/>
              </w:rPr>
              <w:t>盛装公称工作压力大于或者等于</w:t>
            </w:r>
            <w:r>
              <w:rPr>
                <w:rStyle w:val="28"/>
                <w:rFonts w:eastAsia="宋体"/>
                <w:bdr w:val="none" w:color="auto" w:sz="0" w:space="0"/>
                <w:lang w:val="en-US" w:eastAsia="zh-CN" w:bidi="ar"/>
              </w:rPr>
              <w:t xml:space="preserve"> 0.2MPa</w:t>
            </w:r>
            <w:r>
              <w:rPr>
                <w:rStyle w:val="27"/>
                <w:bdr w:val="none" w:color="auto" w:sz="0" w:space="0"/>
                <w:lang w:val="en-US" w:eastAsia="zh-CN" w:bidi="ar"/>
              </w:rPr>
              <w:t>（表压），且压力与容积的乘积大于或者等于</w:t>
            </w:r>
            <w:r>
              <w:rPr>
                <w:rStyle w:val="28"/>
                <w:rFonts w:eastAsia="宋体"/>
                <w:bdr w:val="none" w:color="auto" w:sz="0" w:space="0"/>
                <w:lang w:val="en-US" w:eastAsia="zh-CN" w:bidi="ar"/>
              </w:rPr>
              <w:t xml:space="preserve"> 1.0MPa•L </w:t>
            </w:r>
            <w:r>
              <w:rPr>
                <w:rStyle w:val="27"/>
                <w:bdr w:val="none" w:color="auto" w:sz="0" w:space="0"/>
                <w:lang w:val="en-US" w:eastAsia="zh-CN" w:bidi="ar"/>
              </w:rPr>
              <w:t>的气体、液化气体和标准沸点等于或者低于</w:t>
            </w:r>
            <w:r>
              <w:rPr>
                <w:rStyle w:val="28"/>
                <w:rFonts w:eastAsia="宋体"/>
                <w:bdr w:val="none" w:color="auto" w:sz="0" w:space="0"/>
                <w:lang w:val="en-US" w:eastAsia="zh-CN" w:bidi="ar"/>
              </w:rPr>
              <w:t xml:space="preserve"> 60</w:t>
            </w:r>
            <w:r>
              <w:rPr>
                <w:rStyle w:val="27"/>
                <w:bdr w:val="none" w:color="auto" w:sz="0" w:space="0"/>
                <w:lang w:val="en-US" w:eastAsia="zh-CN" w:bidi="ar"/>
              </w:rPr>
              <w:t>℃液体的气瓶；氧舱等盛装气体或者液体，承载一定压力的密闭设备，须取得《特种设备使用登记证》；设备铭牌上标明为简单压力容器不需办理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0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12.2.2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压力容器作业人员、检验单位须有相关资质</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249</w:t>
            </w:r>
            <w:r>
              <w:rPr>
                <w:rStyle w:val="27"/>
                <w:bdr w:val="none" w:color="auto" w:sz="0" w:space="0"/>
                <w:lang w:val="en-US" w:eastAsia="zh-CN" w:bidi="ar"/>
              </w:rPr>
              <w:t>）快开门式压力容器操作人员、移动式压力容器充装人员、氧舱维护保养人员，取得《特种设备作业人员证》，持证上岗，并每</w:t>
            </w:r>
            <w:r>
              <w:rPr>
                <w:rStyle w:val="28"/>
                <w:rFonts w:eastAsia="宋体"/>
                <w:bdr w:val="none" w:color="auto" w:sz="0" w:space="0"/>
                <w:lang w:val="en-US" w:eastAsia="zh-CN" w:bidi="ar"/>
              </w:rPr>
              <w:t xml:space="preserve"> 4 </w:t>
            </w:r>
            <w:r>
              <w:rPr>
                <w:rStyle w:val="27"/>
                <w:bdr w:val="none" w:color="auto" w:sz="0" w:space="0"/>
                <w:lang w:val="en-US" w:eastAsia="zh-CN" w:bidi="ar"/>
              </w:rPr>
              <w:t>年复审一次；</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250</w:t>
            </w:r>
            <w:r>
              <w:rPr>
                <w:rStyle w:val="27"/>
                <w:bdr w:val="none" w:color="auto" w:sz="0" w:space="0"/>
                <w:lang w:val="en-US" w:eastAsia="zh-CN" w:bidi="ar"/>
              </w:rPr>
              <w:t>）委托有资质单位进行定期检验，并将定期检验合格证置于特种设备显著位置；</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251</w:t>
            </w:r>
            <w:r>
              <w:rPr>
                <w:rStyle w:val="27"/>
                <w:bdr w:val="none" w:color="auto" w:sz="0" w:space="0"/>
                <w:lang w:val="en-US" w:eastAsia="zh-CN" w:bidi="ar"/>
              </w:rPr>
              <w:t>）安全阀或压力表等附件需委托有资质单位定期校验或检定</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12.2.3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压力容器的存放区域合理，有安全警示标识</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252</w:t>
            </w:r>
            <w:r>
              <w:rPr>
                <w:rStyle w:val="27"/>
                <w:bdr w:val="none" w:color="auto" w:sz="0" w:space="0"/>
                <w:lang w:val="en-US" w:eastAsia="zh-CN" w:bidi="ar"/>
              </w:rPr>
              <w:t>）大型实验气罐的存储场所应通风、干燥、防止雨（雪）淋、水浸，避免阳光直射，严禁明火和其他热源；</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253</w:t>
            </w:r>
            <w:r>
              <w:rPr>
                <w:rStyle w:val="27"/>
                <w:bdr w:val="none" w:color="auto" w:sz="0" w:space="0"/>
                <w:lang w:val="en-US" w:eastAsia="zh-CN" w:bidi="ar"/>
              </w:rPr>
              <w:t>）大型实验气体（窒息、可燃类）罐必须放置在室外，周围设置隔离装置、安全警示标识；</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254</w:t>
            </w:r>
            <w:r>
              <w:rPr>
                <w:rStyle w:val="27"/>
                <w:bdr w:val="none" w:color="auto" w:sz="0" w:space="0"/>
                <w:lang w:val="en-US" w:eastAsia="zh-CN" w:bidi="ar"/>
              </w:rPr>
              <w:t>）可燃性气罐要远离火源热源</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12.2.4</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存储可燃、爆炸性气体的气罐满足防爆要求</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255</w:t>
            </w:r>
            <w:r>
              <w:rPr>
                <w:rStyle w:val="27"/>
                <w:bdr w:val="none" w:color="auto" w:sz="0" w:space="0"/>
                <w:lang w:val="en-US" w:eastAsia="zh-CN" w:bidi="ar"/>
              </w:rPr>
              <w:t>）</w:t>
            </w:r>
            <w:r>
              <w:rPr>
                <w:rStyle w:val="28"/>
                <w:rFonts w:eastAsia="宋体"/>
                <w:bdr w:val="none" w:color="auto" w:sz="0" w:space="0"/>
                <w:lang w:val="en-US" w:eastAsia="zh-CN" w:bidi="ar"/>
              </w:rPr>
              <w:t xml:space="preserve"> </w:t>
            </w:r>
            <w:r>
              <w:rPr>
                <w:rStyle w:val="27"/>
                <w:bdr w:val="none" w:color="auto" w:sz="0" w:space="0"/>
                <w:lang w:val="en-US" w:eastAsia="zh-CN" w:bidi="ar"/>
              </w:rPr>
              <w:t>容器的电器开关和熔断器都应设置在明显位置，同时应设避雷装置；</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256</w:t>
            </w:r>
            <w:r>
              <w:rPr>
                <w:rStyle w:val="27"/>
                <w:bdr w:val="none" w:color="auto" w:sz="0" w:space="0"/>
                <w:lang w:val="en-US" w:eastAsia="zh-CN" w:bidi="ar"/>
              </w:rPr>
              <w:t>）</w:t>
            </w:r>
            <w:r>
              <w:rPr>
                <w:rStyle w:val="28"/>
                <w:rFonts w:eastAsia="宋体"/>
                <w:bdr w:val="none" w:color="auto" w:sz="0" w:space="0"/>
                <w:lang w:val="en-US" w:eastAsia="zh-CN" w:bidi="ar"/>
              </w:rPr>
              <w:t xml:space="preserve"> </w:t>
            </w:r>
            <w:r>
              <w:rPr>
                <w:rStyle w:val="27"/>
                <w:bdr w:val="none" w:color="auto" w:sz="0" w:space="0"/>
                <w:lang w:val="en-US" w:eastAsia="zh-CN" w:bidi="ar"/>
              </w:rPr>
              <w:t>电气设施应防爆，避雷装置接地良好</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4"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12.2.5</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压力容器应有专用管理制度和操作规程，实行使用登记</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257</w:t>
            </w:r>
            <w:r>
              <w:rPr>
                <w:rStyle w:val="27"/>
                <w:bdr w:val="none" w:color="auto" w:sz="0" w:space="0"/>
                <w:lang w:val="en-US" w:eastAsia="zh-CN" w:bidi="ar"/>
              </w:rPr>
              <w:t>）</w:t>
            </w:r>
            <w:r>
              <w:rPr>
                <w:rStyle w:val="28"/>
                <w:rFonts w:eastAsia="宋体"/>
                <w:bdr w:val="none" w:color="auto" w:sz="0" w:space="0"/>
                <w:lang w:val="en-US" w:eastAsia="zh-CN" w:bidi="ar"/>
              </w:rPr>
              <w:t xml:space="preserve"> </w:t>
            </w:r>
            <w:r>
              <w:rPr>
                <w:rStyle w:val="27"/>
                <w:bdr w:val="none" w:color="auto" w:sz="0" w:space="0"/>
                <w:lang w:val="en-US" w:eastAsia="zh-CN" w:bidi="ar"/>
              </w:rPr>
              <w:t>制定大型气罐管理制度和操作规程，定期检查大型实验气罐外观及附件是否完好，落实维护、保养及安全责任制；</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258</w:t>
            </w:r>
            <w:r>
              <w:rPr>
                <w:rStyle w:val="27"/>
                <w:bdr w:val="none" w:color="auto" w:sz="0" w:space="0"/>
                <w:lang w:val="en-US" w:eastAsia="zh-CN" w:bidi="ar"/>
              </w:rPr>
              <w:t>）</w:t>
            </w:r>
            <w:r>
              <w:rPr>
                <w:rStyle w:val="28"/>
                <w:rFonts w:eastAsia="宋体"/>
                <w:bdr w:val="none" w:color="auto" w:sz="0" w:space="0"/>
                <w:lang w:val="en-US" w:eastAsia="zh-CN" w:bidi="ar"/>
              </w:rPr>
              <w:t xml:space="preserve"> </w:t>
            </w:r>
            <w:r>
              <w:rPr>
                <w:rStyle w:val="27"/>
                <w:bdr w:val="none" w:color="auto" w:sz="0" w:space="0"/>
                <w:lang w:val="en-US" w:eastAsia="zh-CN" w:bidi="ar"/>
              </w:rPr>
              <w:t>实行使用登记制度，及时填写使用登记表</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12.3</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场（厂）内专用机动车辆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12.3.1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取得《厂内机动车辆监督检验报告》</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259</w:t>
            </w:r>
            <w:r>
              <w:rPr>
                <w:rStyle w:val="27"/>
                <w:bdr w:val="none" w:color="auto" w:sz="0" w:space="0"/>
                <w:lang w:val="en-US" w:eastAsia="zh-CN" w:bidi="ar"/>
              </w:rPr>
              <w:t>）除道路交通、农用车辆以外仅在工厂厂区、旅游景区、游乐场所等特定区域使用的专用机动车辆须取得《特种设备使用登记证》</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12.3.2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作业人员取得《特种设备作业人员证》，持证上岗</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260</w:t>
            </w:r>
            <w:r>
              <w:rPr>
                <w:rStyle w:val="27"/>
                <w:bdr w:val="none" w:color="auto" w:sz="0" w:space="0"/>
                <w:lang w:val="en-US" w:eastAsia="zh-CN" w:bidi="ar"/>
              </w:rPr>
              <w:t>）作业人员的《特种设备作业人员证》在有效期内</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12.3.3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委托有资质单位进行定期检验</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261</w:t>
            </w:r>
            <w:r>
              <w:rPr>
                <w:rStyle w:val="27"/>
                <w:bdr w:val="none" w:color="auto" w:sz="0" w:space="0"/>
                <w:lang w:val="en-US" w:eastAsia="zh-CN" w:bidi="ar"/>
              </w:rPr>
              <w:t>）合格证在有效期内</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7"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bdr w:val="none" w:color="auto" w:sz="0" w:space="0"/>
                <w:lang w:val="en-US" w:eastAsia="zh-CN" w:bidi="ar"/>
              </w:rPr>
              <w:t>12.4</w:t>
            </w:r>
          </w:p>
        </w:tc>
        <w:tc>
          <w:tcPr>
            <w:tcW w:w="1052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Style w:val="26"/>
                <w:rFonts w:ascii="宋体" w:hAnsi="宋体" w:eastAsia="宋体" w:cs="宋体"/>
                <w:sz w:val="24"/>
                <w:szCs w:val="24"/>
                <w:bdr w:val="none" w:color="auto" w:sz="0" w:space="0"/>
                <w:lang w:val="en-US" w:eastAsia="zh-CN" w:bidi="ar"/>
              </w:rPr>
              <w:t>加热及制冷装置管理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宋体" w:cs="Times New Roman"/>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3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12.4.1</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贮存危险化学品的冰箱满足防爆要求</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262</w:t>
            </w:r>
            <w:r>
              <w:rPr>
                <w:rStyle w:val="27"/>
                <w:bdr w:val="none" w:color="auto" w:sz="0" w:space="0"/>
                <w:lang w:val="en-US" w:eastAsia="zh-CN" w:bidi="ar"/>
              </w:rPr>
              <w:t>）贮存危险化学品的冰箱应为防爆冰箱或经过防爆改造的冰箱，并在冰箱门上注明是否防爆</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31"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12.4.2</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冰箱内存放的物品须标识明确，试剂必须可靠密封</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263</w:t>
            </w:r>
            <w:r>
              <w:rPr>
                <w:rStyle w:val="27"/>
                <w:bdr w:val="none" w:color="auto" w:sz="0" w:space="0"/>
                <w:lang w:val="en-US" w:eastAsia="zh-CN" w:bidi="ar"/>
              </w:rPr>
              <w:t>）标识至少包括：名称、使用人、日期等，并经常清理；</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264</w:t>
            </w:r>
            <w:r>
              <w:rPr>
                <w:rStyle w:val="27"/>
                <w:bdr w:val="none" w:color="auto" w:sz="0" w:space="0"/>
                <w:lang w:val="en-US" w:eastAsia="zh-CN" w:bidi="ar"/>
              </w:rPr>
              <w:t>）实验室冰箱中试剂瓶螺口拧紧，无开口容器，不得放置非实验用食品、药品。超低温冰箱门上有储物分区标识，置于走廊等区域的超低温冰箱须上锁</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12.4.3</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冰箱、烘箱、电阻炉的使用满足使用期间和空间等要求</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265</w:t>
            </w:r>
            <w:r>
              <w:rPr>
                <w:rStyle w:val="27"/>
                <w:bdr w:val="none" w:color="auto" w:sz="0" w:space="0"/>
                <w:lang w:val="en-US" w:eastAsia="zh-CN" w:bidi="ar"/>
              </w:rPr>
              <w:t>）冰箱不超期使用（一般使用期限控制为</w:t>
            </w:r>
            <w:r>
              <w:rPr>
                <w:rStyle w:val="28"/>
                <w:rFonts w:eastAsia="宋体"/>
                <w:bdr w:val="none" w:color="auto" w:sz="0" w:space="0"/>
                <w:lang w:val="en-US" w:eastAsia="zh-CN" w:bidi="ar"/>
              </w:rPr>
              <w:t xml:space="preserve"> 10 </w:t>
            </w:r>
            <w:r>
              <w:rPr>
                <w:rStyle w:val="27"/>
                <w:bdr w:val="none" w:color="auto" w:sz="0" w:space="0"/>
                <w:lang w:val="en-US" w:eastAsia="zh-CN" w:bidi="ar"/>
              </w:rPr>
              <w:t>年），如超期使用需经审批；</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266</w:t>
            </w:r>
            <w:r>
              <w:rPr>
                <w:rStyle w:val="27"/>
                <w:bdr w:val="none" w:color="auto" w:sz="0" w:space="0"/>
                <w:lang w:val="en-US" w:eastAsia="zh-CN" w:bidi="ar"/>
              </w:rPr>
              <w:t>）冰箱周围留出足够空间，周围不堆放杂物，不影响散热；</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267</w:t>
            </w:r>
            <w:r>
              <w:rPr>
                <w:rStyle w:val="27"/>
                <w:bdr w:val="none" w:color="auto" w:sz="0" w:space="0"/>
                <w:lang w:val="en-US" w:eastAsia="zh-CN" w:bidi="ar"/>
              </w:rPr>
              <w:t>）烘箱、电阻炉不超期使用（一般使用期限控制为</w:t>
            </w:r>
            <w:r>
              <w:rPr>
                <w:rStyle w:val="28"/>
                <w:rFonts w:eastAsia="宋体"/>
                <w:bdr w:val="none" w:color="auto" w:sz="0" w:space="0"/>
                <w:lang w:val="en-US" w:eastAsia="zh-CN" w:bidi="ar"/>
              </w:rPr>
              <w:t xml:space="preserve"> 12 </w:t>
            </w:r>
            <w:r>
              <w:rPr>
                <w:rStyle w:val="27"/>
                <w:bdr w:val="none" w:color="auto" w:sz="0" w:space="0"/>
                <w:lang w:val="en-US" w:eastAsia="zh-CN" w:bidi="ar"/>
              </w:rPr>
              <w:t>年），如超期使用需经审批；</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268</w:t>
            </w:r>
            <w:r>
              <w:rPr>
                <w:rStyle w:val="27"/>
                <w:bdr w:val="none" w:color="auto" w:sz="0" w:space="0"/>
                <w:lang w:val="en-US" w:eastAsia="zh-CN" w:bidi="ar"/>
              </w:rPr>
              <w:t>）加热设备应放置在通风干燥处，不直接放置在木桌、木板等易燃物品上，周围有一定的散热空间，设备旁不能放置易燃易爆化学品、气体钢瓶、冰箱、杂物等，应远离配电箱、插座、接线板等设备</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硬件</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一般</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2"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12.4.4</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烘箱、电阻炉等加热设备须制定安全操作规程</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269</w:t>
            </w:r>
            <w:r>
              <w:rPr>
                <w:rStyle w:val="27"/>
                <w:bdr w:val="none" w:color="auto" w:sz="0" w:space="0"/>
                <w:lang w:val="en-US" w:eastAsia="zh-CN" w:bidi="ar"/>
              </w:rPr>
              <w:t>）加热设备周边醒目位置张贴有高温警示标识，并有必要的防护措施，张贴有安全操作规程、警示标识；</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270</w:t>
            </w:r>
            <w:r>
              <w:rPr>
                <w:rStyle w:val="27"/>
                <w:bdr w:val="none" w:color="auto" w:sz="0" w:space="0"/>
                <w:lang w:val="en-US" w:eastAsia="zh-CN" w:bidi="ar"/>
              </w:rPr>
              <w:t>）烘箱等加热设备内不准烘烤易燃易爆试剂及易燃物品；</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271</w:t>
            </w:r>
            <w:r>
              <w:rPr>
                <w:rStyle w:val="27"/>
                <w:bdr w:val="none" w:color="auto" w:sz="0" w:space="0"/>
                <w:lang w:val="en-US" w:eastAsia="zh-CN" w:bidi="ar"/>
              </w:rPr>
              <w:t>）不得使用塑料筐等易燃容器盛放实验物品在烘箱等加热设备内烘烤</w:t>
            </w:r>
            <w:r>
              <w:rPr>
                <w:rStyle w:val="28"/>
                <w:rFonts w:eastAsia="宋体"/>
                <w:bdr w:val="none" w:color="auto" w:sz="0" w:space="0"/>
                <w:lang w:val="en-US" w:eastAsia="zh-CN" w:bidi="ar"/>
              </w:rPr>
              <w:t xml:space="preserve">; </w:t>
            </w:r>
            <w:r>
              <w:rPr>
                <w:rStyle w:val="27"/>
                <w:bdr w:val="none" w:color="auto" w:sz="0" w:space="0"/>
                <w:lang w:val="en-US" w:eastAsia="zh-CN" w:bidi="ar"/>
              </w:rPr>
              <w:t>（</w:t>
            </w:r>
            <w:r>
              <w:rPr>
                <w:rStyle w:val="28"/>
                <w:rFonts w:eastAsia="宋体"/>
                <w:bdr w:val="none" w:color="auto" w:sz="0" w:space="0"/>
                <w:lang w:val="en-US" w:eastAsia="zh-CN" w:bidi="ar"/>
              </w:rPr>
              <w:t>272</w:t>
            </w:r>
            <w:r>
              <w:rPr>
                <w:rStyle w:val="27"/>
                <w:bdr w:val="none" w:color="auto" w:sz="0" w:space="0"/>
                <w:lang w:val="en-US" w:eastAsia="zh-CN" w:bidi="ar"/>
              </w:rPr>
              <w:t>）使用烘箱完毕，清理物品，切断电源，确认其冷却至安全温度后方能离开；</w:t>
            </w:r>
            <w:r>
              <w:rPr>
                <w:rStyle w:val="28"/>
                <w:rFonts w:eastAsia="宋体"/>
                <w:bdr w:val="none" w:color="auto" w:sz="0" w:space="0"/>
                <w:lang w:val="en-US" w:eastAsia="zh-CN" w:bidi="ar"/>
              </w:rPr>
              <w:t xml:space="preserve">                                                                                                                          </w:t>
            </w:r>
            <w:r>
              <w:rPr>
                <w:rStyle w:val="27"/>
                <w:bdr w:val="none" w:color="auto" w:sz="0" w:space="0"/>
                <w:lang w:val="en-US" w:eastAsia="zh-CN" w:bidi="ar"/>
              </w:rPr>
              <w:t>（</w:t>
            </w:r>
            <w:r>
              <w:rPr>
                <w:rStyle w:val="28"/>
                <w:rFonts w:eastAsia="宋体"/>
                <w:bdr w:val="none" w:color="auto" w:sz="0" w:space="0"/>
                <w:lang w:val="en-US" w:eastAsia="zh-CN" w:bidi="ar"/>
              </w:rPr>
              <w:t>273</w:t>
            </w:r>
            <w:r>
              <w:rPr>
                <w:rStyle w:val="27"/>
                <w:bdr w:val="none" w:color="auto" w:sz="0" w:space="0"/>
                <w:lang w:val="en-US" w:eastAsia="zh-CN" w:bidi="ar"/>
              </w:rPr>
              <w:t>）使用电阻炉等明火设备时有人值守；</w:t>
            </w:r>
            <w:r>
              <w:rPr>
                <w:rStyle w:val="28"/>
                <w:rFonts w:eastAsia="宋体"/>
                <w:bdr w:val="none" w:color="auto" w:sz="0" w:space="0"/>
                <w:lang w:val="en-US" w:eastAsia="zh-CN" w:bidi="ar"/>
              </w:rPr>
              <w:t xml:space="preserve">                                                               </w:t>
            </w:r>
            <w:r>
              <w:rPr>
                <w:rStyle w:val="27"/>
                <w:bdr w:val="none" w:color="auto" w:sz="0" w:space="0"/>
                <w:lang w:val="en-US" w:eastAsia="zh-CN" w:bidi="ar"/>
              </w:rPr>
              <w:t>（</w:t>
            </w:r>
            <w:r>
              <w:rPr>
                <w:rStyle w:val="28"/>
                <w:rFonts w:eastAsia="宋体"/>
                <w:bdr w:val="none" w:color="auto" w:sz="0" w:space="0"/>
                <w:lang w:val="en-US" w:eastAsia="zh-CN" w:bidi="ar"/>
              </w:rPr>
              <w:t>274</w:t>
            </w:r>
            <w:r>
              <w:rPr>
                <w:rStyle w:val="27"/>
                <w:bdr w:val="none" w:color="auto" w:sz="0" w:space="0"/>
                <w:lang w:val="en-US" w:eastAsia="zh-CN" w:bidi="ar"/>
              </w:rPr>
              <w:t>）使用加热设备时，温度较高的实验需有人值守或有实时监控措施</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96" w:hRule="atLeast"/>
        </w:trPr>
        <w:tc>
          <w:tcPr>
            <w:tcW w:w="6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12.4.5</w:t>
            </w:r>
          </w:p>
        </w:tc>
        <w:tc>
          <w:tcPr>
            <w:tcW w:w="35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使用明火电炉或者电吹风须有安全防范举措</w:t>
            </w:r>
          </w:p>
        </w:tc>
        <w:tc>
          <w:tcPr>
            <w:tcW w:w="7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27"/>
                <w:bdr w:val="none" w:color="auto" w:sz="0" w:space="0"/>
                <w:lang w:val="en-US" w:eastAsia="zh-CN" w:bidi="ar"/>
              </w:rPr>
              <w:t>（</w:t>
            </w:r>
            <w:r>
              <w:rPr>
                <w:rStyle w:val="28"/>
                <w:rFonts w:eastAsia="宋体"/>
                <w:bdr w:val="none" w:color="auto" w:sz="0" w:space="0"/>
                <w:lang w:val="en-US" w:eastAsia="zh-CN" w:bidi="ar"/>
              </w:rPr>
              <w:t>275</w:t>
            </w:r>
            <w:r>
              <w:rPr>
                <w:rStyle w:val="27"/>
                <w:bdr w:val="none" w:color="auto" w:sz="0" w:space="0"/>
                <w:lang w:val="en-US" w:eastAsia="zh-CN" w:bidi="ar"/>
              </w:rPr>
              <w:t>）涉及化学品的实验室不使用明火电炉。如必须使用，须有安全防范措施；</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276</w:t>
            </w:r>
            <w:r>
              <w:rPr>
                <w:rStyle w:val="27"/>
                <w:bdr w:val="none" w:color="auto" w:sz="0" w:space="0"/>
                <w:lang w:val="en-US" w:eastAsia="zh-CN" w:bidi="ar"/>
              </w:rPr>
              <w:t>）不使用明火电炉加热易燃易爆试剂；</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277</w:t>
            </w:r>
            <w:r>
              <w:rPr>
                <w:rStyle w:val="27"/>
                <w:bdr w:val="none" w:color="auto" w:sz="0" w:space="0"/>
                <w:lang w:val="en-US" w:eastAsia="zh-CN" w:bidi="ar"/>
              </w:rPr>
              <w:t>）明火电炉、电吹风、电热枪等用毕，须及时拔除电源插头；</w:t>
            </w:r>
            <w:r>
              <w:rPr>
                <w:rStyle w:val="27"/>
                <w:bdr w:val="none" w:color="auto" w:sz="0" w:space="0"/>
                <w:lang w:val="en-US" w:eastAsia="zh-CN" w:bidi="ar"/>
              </w:rPr>
              <w:br w:type="textWrapping"/>
            </w:r>
            <w:r>
              <w:rPr>
                <w:rStyle w:val="27"/>
                <w:bdr w:val="none" w:color="auto" w:sz="0" w:space="0"/>
                <w:lang w:val="en-US" w:eastAsia="zh-CN" w:bidi="ar"/>
              </w:rPr>
              <w:t>（</w:t>
            </w:r>
            <w:r>
              <w:rPr>
                <w:rStyle w:val="28"/>
                <w:rFonts w:eastAsia="宋体"/>
                <w:bdr w:val="none" w:color="auto" w:sz="0" w:space="0"/>
                <w:lang w:val="en-US" w:eastAsia="zh-CN" w:bidi="ar"/>
              </w:rPr>
              <w:t>278</w:t>
            </w:r>
            <w:r>
              <w:rPr>
                <w:rStyle w:val="27"/>
                <w:bdr w:val="none" w:color="auto" w:sz="0" w:space="0"/>
                <w:lang w:val="en-US" w:eastAsia="zh-CN" w:bidi="ar"/>
              </w:rPr>
              <w:t>）不可用纸质、木质等材料自制红外灯烘箱</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操作</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严重</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2</w:t>
            </w:r>
          </w:p>
        </w:tc>
      </w:tr>
    </w:tbl>
    <w:p>
      <w:pPr>
        <w:jc w:val="left"/>
        <w:rPr>
          <w:rFonts w:hint="eastAsia" w:ascii="仿宋" w:hAnsi="仿宋" w:eastAsia="仿宋"/>
          <w:sz w:val="28"/>
          <w:szCs w:val="28"/>
        </w:rPr>
      </w:pPr>
    </w:p>
    <w:p>
      <w:pPr>
        <w:ind w:firstLine="1400" w:firstLineChars="500"/>
        <w:jc w:val="left"/>
        <w:rPr>
          <w:rFonts w:hint="eastAsia" w:ascii="仿宋" w:hAnsi="仿宋" w:eastAsia="仿宋"/>
          <w:sz w:val="28"/>
          <w:szCs w:val="28"/>
        </w:rPr>
      </w:pPr>
    </w:p>
    <w:p>
      <w:pPr>
        <w:jc w:val="center"/>
        <w:rPr>
          <w:rFonts w:ascii="方正小标宋简体" w:hAnsi="黑体" w:eastAsia="方正小标宋简体"/>
          <w:sz w:val="36"/>
          <w:szCs w:val="36"/>
        </w:rPr>
      </w:pPr>
      <w:r>
        <w:rPr>
          <w:rFonts w:hint="eastAsia" w:ascii="方正小标宋简体" w:hAnsi="黑体" w:eastAsia="方正小标宋简体"/>
          <w:sz w:val="36"/>
          <w:szCs w:val="36"/>
          <w:lang w:val="en-US" w:eastAsia="zh-CN"/>
        </w:rPr>
        <w:t xml:space="preserve"> 附件3 </w:t>
      </w:r>
      <w:r>
        <w:rPr>
          <w:rFonts w:hint="eastAsia" w:ascii="方正小标宋简体" w:hAnsi="黑体" w:eastAsia="方正小标宋简体"/>
          <w:sz w:val="36"/>
          <w:szCs w:val="36"/>
        </w:rPr>
        <w:t>实验室技术安全检查计分使用表</w:t>
      </w:r>
    </w:p>
    <w:p>
      <w:pPr>
        <w:ind w:firstLine="1400" w:firstLineChars="500"/>
        <w:jc w:val="left"/>
        <w:rPr>
          <w:rFonts w:hint="eastAsia" w:ascii="仿宋" w:hAnsi="仿宋" w:eastAsia="仿宋"/>
          <w:sz w:val="28"/>
          <w:szCs w:val="28"/>
        </w:rPr>
      </w:pPr>
    </w:p>
    <w:tbl>
      <w:tblPr>
        <w:tblStyle w:val="9"/>
        <w:tblpPr w:leftFromText="180" w:rightFromText="180" w:vertAnchor="page" w:horzAnchor="page" w:tblpX="1313" w:tblpY="2486"/>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24"/>
        <w:gridCol w:w="561"/>
        <w:gridCol w:w="2835"/>
        <w:gridCol w:w="3969"/>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4" w:type="dxa"/>
            <w:shd w:val="clear" w:color="auto" w:fill="auto"/>
            <w:vAlign w:val="center"/>
          </w:tcPr>
          <w:p>
            <w:pPr>
              <w:jc w:val="center"/>
              <w:rPr>
                <w:rFonts w:ascii="仿宋" w:hAnsi="仿宋" w:eastAsia="仿宋"/>
                <w:b/>
                <w:kern w:val="0"/>
                <w:sz w:val="24"/>
                <w:szCs w:val="24"/>
              </w:rPr>
            </w:pPr>
            <w:r>
              <w:rPr>
                <w:rFonts w:hint="eastAsia" w:ascii="仿宋" w:hAnsi="仿宋" w:eastAsia="仿宋"/>
                <w:b/>
                <w:kern w:val="0"/>
                <w:sz w:val="24"/>
                <w:szCs w:val="24"/>
              </w:rPr>
              <w:t>序号</w:t>
            </w:r>
          </w:p>
        </w:tc>
        <w:tc>
          <w:tcPr>
            <w:tcW w:w="1985" w:type="dxa"/>
            <w:gridSpan w:val="2"/>
            <w:shd w:val="clear" w:color="auto" w:fill="auto"/>
            <w:vAlign w:val="center"/>
          </w:tcPr>
          <w:p>
            <w:pPr>
              <w:jc w:val="center"/>
              <w:rPr>
                <w:rFonts w:ascii="仿宋" w:hAnsi="仿宋" w:eastAsia="仿宋"/>
                <w:b/>
                <w:kern w:val="0"/>
                <w:sz w:val="24"/>
                <w:szCs w:val="24"/>
              </w:rPr>
            </w:pPr>
            <w:r>
              <w:rPr>
                <w:rFonts w:hint="eastAsia" w:ascii="仿宋" w:hAnsi="仿宋" w:eastAsia="仿宋"/>
                <w:b/>
                <w:kern w:val="0"/>
                <w:sz w:val="24"/>
                <w:szCs w:val="24"/>
              </w:rPr>
              <w:t>计分对象</w:t>
            </w:r>
          </w:p>
        </w:tc>
        <w:tc>
          <w:tcPr>
            <w:tcW w:w="2835" w:type="dxa"/>
            <w:shd w:val="clear" w:color="auto" w:fill="auto"/>
            <w:vAlign w:val="center"/>
          </w:tcPr>
          <w:p>
            <w:pPr>
              <w:jc w:val="center"/>
              <w:rPr>
                <w:rFonts w:ascii="仿宋" w:hAnsi="仿宋" w:eastAsia="仿宋"/>
                <w:b/>
                <w:kern w:val="0"/>
                <w:sz w:val="24"/>
                <w:szCs w:val="24"/>
              </w:rPr>
            </w:pPr>
            <w:r>
              <w:rPr>
                <w:rFonts w:hint="eastAsia" w:ascii="仿宋" w:hAnsi="仿宋" w:eastAsia="仿宋"/>
                <w:b/>
                <w:kern w:val="0"/>
                <w:sz w:val="24"/>
                <w:szCs w:val="24"/>
              </w:rPr>
              <w:t>计分</w:t>
            </w:r>
            <w:r>
              <w:rPr>
                <w:rFonts w:ascii="仿宋" w:hAnsi="仿宋" w:eastAsia="仿宋"/>
                <w:b/>
                <w:kern w:val="0"/>
                <w:sz w:val="24"/>
                <w:szCs w:val="24"/>
              </w:rPr>
              <w:t>满</w:t>
            </w:r>
            <w:r>
              <w:rPr>
                <w:rFonts w:hint="eastAsia" w:ascii="仿宋" w:hAnsi="仿宋" w:eastAsia="仿宋"/>
                <w:b/>
                <w:kern w:val="0"/>
                <w:sz w:val="24"/>
                <w:szCs w:val="24"/>
              </w:rPr>
              <w:t>6分</w:t>
            </w:r>
          </w:p>
        </w:tc>
        <w:tc>
          <w:tcPr>
            <w:tcW w:w="3969" w:type="dxa"/>
            <w:shd w:val="clear" w:color="auto" w:fill="auto"/>
            <w:vAlign w:val="center"/>
          </w:tcPr>
          <w:p>
            <w:pPr>
              <w:jc w:val="center"/>
              <w:rPr>
                <w:rFonts w:ascii="仿宋" w:hAnsi="仿宋" w:eastAsia="仿宋"/>
                <w:b/>
                <w:kern w:val="0"/>
                <w:sz w:val="24"/>
                <w:szCs w:val="24"/>
              </w:rPr>
            </w:pPr>
            <w:r>
              <w:rPr>
                <w:rFonts w:hint="eastAsia" w:ascii="仿宋" w:hAnsi="仿宋" w:eastAsia="仿宋"/>
                <w:b/>
                <w:kern w:val="0"/>
                <w:sz w:val="24"/>
                <w:szCs w:val="24"/>
              </w:rPr>
              <w:t>计分</w:t>
            </w:r>
            <w:r>
              <w:rPr>
                <w:rFonts w:ascii="仿宋" w:hAnsi="仿宋" w:eastAsia="仿宋"/>
                <w:b/>
                <w:kern w:val="0"/>
                <w:sz w:val="24"/>
                <w:szCs w:val="24"/>
              </w:rPr>
              <w:t>满</w:t>
            </w:r>
            <w:r>
              <w:rPr>
                <w:rFonts w:hint="eastAsia" w:ascii="仿宋" w:hAnsi="仿宋" w:eastAsia="仿宋"/>
                <w:b/>
                <w:kern w:val="0"/>
                <w:sz w:val="24"/>
                <w:szCs w:val="24"/>
              </w:rPr>
              <w:t>12分1次</w:t>
            </w:r>
          </w:p>
        </w:tc>
        <w:tc>
          <w:tcPr>
            <w:tcW w:w="4961" w:type="dxa"/>
            <w:shd w:val="clear" w:color="auto" w:fill="auto"/>
            <w:vAlign w:val="center"/>
          </w:tcPr>
          <w:p>
            <w:pPr>
              <w:jc w:val="center"/>
              <w:rPr>
                <w:rFonts w:ascii="仿宋" w:hAnsi="仿宋" w:eastAsia="仿宋"/>
                <w:b/>
                <w:kern w:val="0"/>
                <w:sz w:val="24"/>
                <w:szCs w:val="24"/>
              </w:rPr>
            </w:pPr>
            <w:r>
              <w:rPr>
                <w:rFonts w:hint="eastAsia" w:ascii="仿宋" w:hAnsi="仿宋" w:eastAsia="仿宋"/>
                <w:b/>
                <w:kern w:val="0"/>
                <w:sz w:val="24"/>
                <w:szCs w:val="24"/>
              </w:rPr>
              <w:t>计分</w:t>
            </w:r>
            <w:r>
              <w:rPr>
                <w:rFonts w:ascii="仿宋" w:hAnsi="仿宋" w:eastAsia="仿宋"/>
                <w:b/>
                <w:kern w:val="0"/>
                <w:sz w:val="24"/>
                <w:szCs w:val="24"/>
              </w:rPr>
              <w:t>满</w:t>
            </w:r>
            <w:r>
              <w:rPr>
                <w:rFonts w:hint="eastAsia" w:ascii="仿宋" w:hAnsi="仿宋" w:eastAsia="仿宋"/>
                <w:b/>
                <w:kern w:val="0"/>
                <w:sz w:val="24"/>
                <w:szCs w:val="24"/>
              </w:rPr>
              <w:t>12分≥2次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04"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1</w:t>
            </w:r>
          </w:p>
        </w:tc>
        <w:tc>
          <w:tcPr>
            <w:tcW w:w="1424" w:type="dxa"/>
            <w:vMerge w:val="restart"/>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实验室</w:t>
            </w:r>
          </w:p>
          <w:p>
            <w:pPr>
              <w:jc w:val="center"/>
              <w:rPr>
                <w:rFonts w:ascii="仿宋" w:hAnsi="仿宋" w:eastAsia="仿宋"/>
                <w:kern w:val="0"/>
                <w:sz w:val="24"/>
                <w:szCs w:val="24"/>
              </w:rPr>
            </w:pPr>
            <w:r>
              <w:rPr>
                <w:rFonts w:hint="eastAsia" w:ascii="仿宋" w:hAnsi="仿宋" w:eastAsia="仿宋"/>
                <w:kern w:val="0"/>
                <w:sz w:val="24"/>
                <w:szCs w:val="24"/>
              </w:rPr>
              <w:t>工作人员</w:t>
            </w:r>
          </w:p>
        </w:tc>
        <w:tc>
          <w:tcPr>
            <w:tcW w:w="561" w:type="dxa"/>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学生</w:t>
            </w:r>
          </w:p>
        </w:tc>
        <w:tc>
          <w:tcPr>
            <w:tcW w:w="2835" w:type="dxa"/>
            <w:shd w:val="clear" w:color="auto" w:fill="auto"/>
            <w:tcMar>
              <w:left w:w="28" w:type="dxa"/>
              <w:right w:w="28" w:type="dxa"/>
            </w:tcMar>
            <w:vAlign w:val="center"/>
          </w:tcPr>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1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①</w:t>
            </w:r>
            <w:r>
              <w:rPr>
                <w:rFonts w:ascii="仿宋" w:hAnsi="仿宋" w:eastAsia="仿宋"/>
                <w:kern w:val="0"/>
                <w:sz w:val="24"/>
                <w:szCs w:val="24"/>
              </w:rPr>
              <w:fldChar w:fldCharType="end"/>
            </w:r>
            <w:r>
              <w:rPr>
                <w:rFonts w:hint="eastAsia" w:ascii="仿宋" w:hAnsi="仿宋" w:eastAsia="仿宋"/>
                <w:kern w:val="0"/>
                <w:sz w:val="24"/>
                <w:szCs w:val="24"/>
              </w:rPr>
              <w:t>接受二级单位分管领导批评</w:t>
            </w:r>
            <w:r>
              <w:rPr>
                <w:rFonts w:ascii="仿宋" w:hAnsi="仿宋" w:eastAsia="仿宋"/>
                <w:kern w:val="0"/>
                <w:sz w:val="24"/>
                <w:szCs w:val="24"/>
              </w:rPr>
              <w:t>教育；</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2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②</w:t>
            </w:r>
            <w:r>
              <w:rPr>
                <w:rFonts w:ascii="仿宋" w:hAnsi="仿宋" w:eastAsia="仿宋"/>
                <w:kern w:val="0"/>
                <w:sz w:val="24"/>
                <w:szCs w:val="24"/>
              </w:rPr>
              <w:fldChar w:fldCharType="end"/>
            </w:r>
            <w:r>
              <w:rPr>
                <w:rFonts w:hint="eastAsia" w:ascii="仿宋" w:hAnsi="仿宋" w:eastAsia="仿宋"/>
                <w:kern w:val="0"/>
                <w:sz w:val="24"/>
                <w:szCs w:val="24"/>
              </w:rPr>
              <w:t>接受院级安全</w:t>
            </w:r>
            <w:r>
              <w:rPr>
                <w:rFonts w:ascii="仿宋" w:hAnsi="仿宋" w:eastAsia="仿宋"/>
                <w:kern w:val="0"/>
                <w:sz w:val="24"/>
                <w:szCs w:val="24"/>
              </w:rPr>
              <w:t>知识</w:t>
            </w:r>
            <w:r>
              <w:rPr>
                <w:rFonts w:hint="eastAsia" w:ascii="仿宋" w:hAnsi="仿宋" w:eastAsia="仿宋"/>
                <w:kern w:val="0"/>
                <w:sz w:val="24"/>
                <w:szCs w:val="24"/>
              </w:rPr>
              <w:t>考核</w:t>
            </w:r>
          </w:p>
        </w:tc>
        <w:tc>
          <w:tcPr>
            <w:tcW w:w="3969" w:type="dxa"/>
            <w:shd w:val="clear" w:color="auto" w:fill="auto"/>
            <w:tcMar>
              <w:left w:w="0" w:type="dxa"/>
              <w:right w:w="0" w:type="dxa"/>
            </w:tcMar>
            <w:vAlign w:val="center"/>
          </w:tcPr>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1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①</w:t>
            </w:r>
            <w:r>
              <w:rPr>
                <w:rFonts w:ascii="仿宋" w:hAnsi="仿宋" w:eastAsia="仿宋"/>
                <w:kern w:val="0"/>
                <w:sz w:val="24"/>
                <w:szCs w:val="24"/>
              </w:rPr>
              <w:fldChar w:fldCharType="end"/>
            </w:r>
            <w:r>
              <w:rPr>
                <w:rFonts w:hint="eastAsia" w:ascii="仿宋" w:hAnsi="仿宋" w:eastAsia="仿宋"/>
                <w:kern w:val="0"/>
                <w:sz w:val="24"/>
                <w:szCs w:val="24"/>
              </w:rPr>
              <w:t>停止</w:t>
            </w:r>
            <w:r>
              <w:rPr>
                <w:rFonts w:ascii="仿宋" w:hAnsi="仿宋" w:eastAsia="仿宋"/>
                <w:kern w:val="0"/>
                <w:sz w:val="24"/>
                <w:szCs w:val="24"/>
              </w:rPr>
              <w:t>实验；</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2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②</w:t>
            </w:r>
            <w:r>
              <w:rPr>
                <w:rFonts w:ascii="仿宋" w:hAnsi="仿宋" w:eastAsia="仿宋"/>
                <w:kern w:val="0"/>
                <w:sz w:val="24"/>
                <w:szCs w:val="24"/>
              </w:rPr>
              <w:fldChar w:fldCharType="end"/>
            </w:r>
            <w:r>
              <w:rPr>
                <w:rFonts w:ascii="仿宋" w:hAnsi="仿宋" w:eastAsia="仿宋"/>
                <w:kern w:val="0"/>
                <w:sz w:val="24"/>
                <w:szCs w:val="24"/>
              </w:rPr>
              <w:t>须重新参加</w:t>
            </w:r>
            <w:r>
              <w:rPr>
                <w:rFonts w:hint="eastAsia" w:ascii="仿宋" w:hAnsi="仿宋" w:eastAsia="仿宋"/>
                <w:kern w:val="0"/>
                <w:sz w:val="24"/>
                <w:szCs w:val="24"/>
              </w:rPr>
              <w:t>校级</w:t>
            </w:r>
            <w:r>
              <w:rPr>
                <w:rFonts w:ascii="仿宋" w:hAnsi="仿宋" w:eastAsia="仿宋"/>
                <w:kern w:val="0"/>
                <w:sz w:val="24"/>
                <w:szCs w:val="24"/>
              </w:rPr>
              <w:t>准入考核；</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3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③</w:t>
            </w:r>
            <w:r>
              <w:rPr>
                <w:rFonts w:ascii="仿宋" w:hAnsi="仿宋" w:eastAsia="仿宋"/>
                <w:kern w:val="0"/>
                <w:sz w:val="24"/>
                <w:szCs w:val="24"/>
              </w:rPr>
              <w:fldChar w:fldCharType="end"/>
            </w:r>
            <w:r>
              <w:rPr>
                <w:rFonts w:hint="eastAsia" w:ascii="仿宋" w:hAnsi="仿宋" w:eastAsia="仿宋"/>
                <w:kern w:val="0"/>
                <w:sz w:val="24"/>
                <w:szCs w:val="24"/>
              </w:rPr>
              <w:t>建议学校</w:t>
            </w:r>
            <w:r>
              <w:rPr>
                <w:rFonts w:ascii="仿宋" w:hAnsi="仿宋" w:eastAsia="仿宋"/>
                <w:kern w:val="0"/>
                <w:sz w:val="24"/>
                <w:szCs w:val="24"/>
              </w:rPr>
              <w:t>取消或降档</w:t>
            </w:r>
            <w:r>
              <w:rPr>
                <w:rFonts w:hint="eastAsia" w:ascii="仿宋" w:hAnsi="仿宋" w:eastAsia="仿宋"/>
                <w:kern w:val="0"/>
                <w:sz w:val="24"/>
                <w:szCs w:val="24"/>
              </w:rPr>
              <w:t>评奖评优资格</w:t>
            </w:r>
          </w:p>
        </w:tc>
        <w:tc>
          <w:tcPr>
            <w:tcW w:w="4961" w:type="dxa"/>
            <w:shd w:val="clear" w:color="auto" w:fill="auto"/>
            <w:vAlign w:val="center"/>
          </w:tcPr>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1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①</w:t>
            </w:r>
            <w:r>
              <w:rPr>
                <w:rFonts w:ascii="仿宋" w:hAnsi="仿宋" w:eastAsia="仿宋"/>
                <w:kern w:val="0"/>
                <w:sz w:val="24"/>
                <w:szCs w:val="24"/>
              </w:rPr>
              <w:fldChar w:fldCharType="end"/>
            </w:r>
            <w:r>
              <w:rPr>
                <w:rFonts w:hint="eastAsia" w:ascii="仿宋" w:hAnsi="仿宋" w:eastAsia="仿宋"/>
                <w:kern w:val="0"/>
                <w:sz w:val="24"/>
                <w:szCs w:val="24"/>
              </w:rPr>
              <w:t>停止</w:t>
            </w:r>
            <w:r>
              <w:rPr>
                <w:rFonts w:ascii="仿宋" w:hAnsi="仿宋" w:eastAsia="仿宋"/>
                <w:kern w:val="0"/>
                <w:sz w:val="24"/>
                <w:szCs w:val="24"/>
              </w:rPr>
              <w:t>实验</w:t>
            </w:r>
            <w:r>
              <w:rPr>
                <w:rFonts w:hint="eastAsia" w:ascii="仿宋" w:hAnsi="仿宋" w:eastAsia="仿宋"/>
                <w:kern w:val="0"/>
                <w:sz w:val="24"/>
                <w:szCs w:val="24"/>
              </w:rPr>
              <w:t>1个</w:t>
            </w:r>
            <w:r>
              <w:rPr>
                <w:rFonts w:ascii="仿宋" w:hAnsi="仿宋" w:eastAsia="仿宋"/>
                <w:kern w:val="0"/>
                <w:sz w:val="24"/>
                <w:szCs w:val="24"/>
              </w:rPr>
              <w:t>月；</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2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②</w:t>
            </w:r>
            <w:r>
              <w:rPr>
                <w:rFonts w:ascii="仿宋" w:hAnsi="仿宋" w:eastAsia="仿宋"/>
                <w:kern w:val="0"/>
                <w:sz w:val="24"/>
                <w:szCs w:val="24"/>
              </w:rPr>
              <w:fldChar w:fldCharType="end"/>
            </w:r>
            <w:r>
              <w:rPr>
                <w:rFonts w:ascii="仿宋" w:hAnsi="仿宋" w:eastAsia="仿宋"/>
                <w:kern w:val="0"/>
                <w:sz w:val="24"/>
                <w:szCs w:val="24"/>
              </w:rPr>
              <w:t>须重新参加</w:t>
            </w:r>
            <w:r>
              <w:rPr>
                <w:rFonts w:hint="eastAsia" w:ascii="仿宋" w:hAnsi="仿宋" w:eastAsia="仿宋"/>
                <w:kern w:val="0"/>
                <w:sz w:val="24"/>
                <w:szCs w:val="24"/>
              </w:rPr>
              <w:t>校级</w:t>
            </w:r>
            <w:r>
              <w:rPr>
                <w:rFonts w:ascii="仿宋" w:hAnsi="仿宋" w:eastAsia="仿宋"/>
                <w:kern w:val="0"/>
                <w:sz w:val="24"/>
                <w:szCs w:val="24"/>
              </w:rPr>
              <w:t>准入考核；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04" w:type="dxa"/>
            <w:vMerge w:val="continue"/>
            <w:shd w:val="clear" w:color="auto" w:fill="auto"/>
            <w:vAlign w:val="center"/>
          </w:tcPr>
          <w:p>
            <w:pPr>
              <w:jc w:val="center"/>
              <w:rPr>
                <w:rFonts w:ascii="仿宋" w:hAnsi="仿宋" w:eastAsia="仿宋"/>
                <w:kern w:val="0"/>
                <w:sz w:val="24"/>
                <w:szCs w:val="24"/>
              </w:rPr>
            </w:pPr>
          </w:p>
        </w:tc>
        <w:tc>
          <w:tcPr>
            <w:tcW w:w="1424" w:type="dxa"/>
            <w:vMerge w:val="continue"/>
            <w:shd w:val="clear" w:color="auto" w:fill="auto"/>
            <w:vAlign w:val="center"/>
          </w:tcPr>
          <w:p>
            <w:pPr>
              <w:jc w:val="center"/>
              <w:rPr>
                <w:rFonts w:ascii="仿宋" w:hAnsi="仿宋" w:eastAsia="仿宋"/>
                <w:kern w:val="0"/>
                <w:sz w:val="24"/>
                <w:szCs w:val="24"/>
              </w:rPr>
            </w:pPr>
          </w:p>
        </w:tc>
        <w:tc>
          <w:tcPr>
            <w:tcW w:w="561" w:type="dxa"/>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教职工</w:t>
            </w:r>
          </w:p>
        </w:tc>
        <w:tc>
          <w:tcPr>
            <w:tcW w:w="2835" w:type="dxa"/>
            <w:shd w:val="clear" w:color="auto" w:fill="auto"/>
            <w:tcMar>
              <w:left w:w="28" w:type="dxa"/>
              <w:right w:w="28" w:type="dxa"/>
            </w:tcMar>
            <w:vAlign w:val="center"/>
          </w:tcPr>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1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①</w:t>
            </w:r>
            <w:r>
              <w:rPr>
                <w:rFonts w:ascii="仿宋" w:hAnsi="仿宋" w:eastAsia="仿宋"/>
                <w:kern w:val="0"/>
                <w:sz w:val="24"/>
                <w:szCs w:val="24"/>
              </w:rPr>
              <w:fldChar w:fldCharType="end"/>
            </w:r>
            <w:r>
              <w:rPr>
                <w:rFonts w:hint="eastAsia" w:ascii="仿宋" w:hAnsi="仿宋" w:eastAsia="仿宋"/>
                <w:kern w:val="0"/>
                <w:sz w:val="24"/>
                <w:szCs w:val="24"/>
              </w:rPr>
              <w:t>接受二级单位分管领导批评</w:t>
            </w:r>
            <w:r>
              <w:rPr>
                <w:rFonts w:ascii="仿宋" w:hAnsi="仿宋" w:eastAsia="仿宋"/>
                <w:kern w:val="0"/>
                <w:sz w:val="24"/>
                <w:szCs w:val="24"/>
              </w:rPr>
              <w:t>教育；</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2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②</w:t>
            </w:r>
            <w:r>
              <w:rPr>
                <w:rFonts w:ascii="仿宋" w:hAnsi="仿宋" w:eastAsia="仿宋"/>
                <w:kern w:val="0"/>
                <w:sz w:val="24"/>
                <w:szCs w:val="24"/>
              </w:rPr>
              <w:fldChar w:fldCharType="end"/>
            </w:r>
            <w:r>
              <w:rPr>
                <w:rFonts w:hint="eastAsia" w:ascii="仿宋" w:hAnsi="仿宋" w:eastAsia="仿宋"/>
                <w:kern w:val="0"/>
                <w:sz w:val="24"/>
                <w:szCs w:val="24"/>
              </w:rPr>
              <w:t>接受院级安全</w:t>
            </w:r>
            <w:r>
              <w:rPr>
                <w:rFonts w:ascii="仿宋" w:hAnsi="仿宋" w:eastAsia="仿宋"/>
                <w:kern w:val="0"/>
                <w:sz w:val="24"/>
                <w:szCs w:val="24"/>
              </w:rPr>
              <w:t>知识</w:t>
            </w:r>
            <w:r>
              <w:rPr>
                <w:rFonts w:hint="eastAsia" w:ascii="仿宋" w:hAnsi="仿宋" w:eastAsia="仿宋"/>
                <w:kern w:val="0"/>
                <w:sz w:val="24"/>
                <w:szCs w:val="24"/>
              </w:rPr>
              <w:t>考核</w:t>
            </w:r>
          </w:p>
        </w:tc>
        <w:tc>
          <w:tcPr>
            <w:tcW w:w="3969" w:type="dxa"/>
            <w:shd w:val="clear" w:color="auto" w:fill="auto"/>
            <w:tcMar>
              <w:left w:w="0" w:type="dxa"/>
              <w:right w:w="0" w:type="dxa"/>
            </w:tcMar>
            <w:vAlign w:val="center"/>
          </w:tcPr>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1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①</w:t>
            </w:r>
            <w:r>
              <w:rPr>
                <w:rFonts w:ascii="仿宋" w:hAnsi="仿宋" w:eastAsia="仿宋"/>
                <w:kern w:val="0"/>
                <w:sz w:val="24"/>
                <w:szCs w:val="24"/>
              </w:rPr>
              <w:fldChar w:fldCharType="end"/>
            </w:r>
            <w:r>
              <w:rPr>
                <w:rFonts w:hint="eastAsia" w:ascii="仿宋" w:hAnsi="仿宋" w:eastAsia="仿宋"/>
                <w:kern w:val="0"/>
                <w:sz w:val="24"/>
                <w:szCs w:val="24"/>
              </w:rPr>
              <w:t>停止</w:t>
            </w:r>
            <w:r>
              <w:rPr>
                <w:rFonts w:ascii="仿宋" w:hAnsi="仿宋" w:eastAsia="仿宋"/>
                <w:kern w:val="0"/>
                <w:sz w:val="24"/>
                <w:szCs w:val="24"/>
              </w:rPr>
              <w:t>实验；</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2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②</w:t>
            </w:r>
            <w:r>
              <w:rPr>
                <w:rFonts w:ascii="仿宋" w:hAnsi="仿宋" w:eastAsia="仿宋"/>
                <w:kern w:val="0"/>
                <w:sz w:val="24"/>
                <w:szCs w:val="24"/>
              </w:rPr>
              <w:fldChar w:fldCharType="end"/>
            </w:r>
            <w:r>
              <w:rPr>
                <w:rFonts w:ascii="仿宋" w:hAnsi="仿宋" w:eastAsia="仿宋"/>
                <w:kern w:val="0"/>
                <w:sz w:val="24"/>
                <w:szCs w:val="24"/>
              </w:rPr>
              <w:t>须重新参加</w:t>
            </w:r>
            <w:r>
              <w:rPr>
                <w:rFonts w:hint="eastAsia" w:ascii="仿宋" w:hAnsi="仿宋" w:eastAsia="仿宋"/>
                <w:kern w:val="0"/>
                <w:sz w:val="24"/>
                <w:szCs w:val="24"/>
              </w:rPr>
              <w:t>校级</w:t>
            </w:r>
            <w:r>
              <w:rPr>
                <w:rFonts w:ascii="仿宋" w:hAnsi="仿宋" w:eastAsia="仿宋"/>
                <w:kern w:val="0"/>
                <w:sz w:val="24"/>
                <w:szCs w:val="24"/>
              </w:rPr>
              <w:t>准入考核；</w:t>
            </w:r>
            <w:r>
              <w:rPr>
                <w:rFonts w:hint="eastAsia" w:ascii="仿宋" w:hAnsi="仿宋" w:eastAsia="仿宋"/>
                <w:kern w:val="0"/>
                <w:sz w:val="24"/>
                <w:szCs w:val="24"/>
              </w:rPr>
              <w:t xml:space="preserve"> </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3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③</w:t>
            </w:r>
            <w:r>
              <w:rPr>
                <w:rFonts w:ascii="仿宋" w:hAnsi="仿宋" w:eastAsia="仿宋"/>
                <w:kern w:val="0"/>
                <w:sz w:val="24"/>
                <w:szCs w:val="24"/>
              </w:rPr>
              <w:fldChar w:fldCharType="end"/>
            </w:r>
            <w:r>
              <w:rPr>
                <w:rFonts w:hint="eastAsia" w:ascii="仿宋" w:hAnsi="仿宋" w:eastAsia="仿宋"/>
                <w:kern w:val="0"/>
                <w:sz w:val="24"/>
                <w:szCs w:val="24"/>
              </w:rPr>
              <w:t>建议学校</w:t>
            </w:r>
            <w:r>
              <w:rPr>
                <w:rFonts w:ascii="仿宋" w:hAnsi="仿宋" w:eastAsia="仿宋"/>
                <w:kern w:val="0"/>
                <w:sz w:val="24"/>
                <w:szCs w:val="24"/>
              </w:rPr>
              <w:t>取消</w:t>
            </w:r>
            <w:r>
              <w:rPr>
                <w:rFonts w:hint="eastAsia" w:ascii="仿宋" w:hAnsi="仿宋" w:eastAsia="仿宋"/>
                <w:kern w:val="0"/>
                <w:sz w:val="24"/>
                <w:szCs w:val="24"/>
              </w:rPr>
              <w:t>评奖评优资格</w:t>
            </w:r>
          </w:p>
        </w:tc>
        <w:tc>
          <w:tcPr>
            <w:tcW w:w="4961" w:type="dxa"/>
            <w:shd w:val="clear" w:color="auto" w:fill="auto"/>
            <w:vAlign w:val="center"/>
          </w:tcPr>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1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①</w:t>
            </w:r>
            <w:r>
              <w:rPr>
                <w:rFonts w:ascii="仿宋" w:hAnsi="仿宋" w:eastAsia="仿宋"/>
                <w:kern w:val="0"/>
                <w:sz w:val="24"/>
                <w:szCs w:val="24"/>
              </w:rPr>
              <w:fldChar w:fldCharType="end"/>
            </w:r>
            <w:r>
              <w:rPr>
                <w:rFonts w:hint="eastAsia" w:ascii="仿宋" w:hAnsi="仿宋" w:eastAsia="仿宋"/>
                <w:kern w:val="0"/>
                <w:sz w:val="24"/>
                <w:szCs w:val="24"/>
              </w:rPr>
              <w:t>停止</w:t>
            </w:r>
            <w:r>
              <w:rPr>
                <w:rFonts w:ascii="仿宋" w:hAnsi="仿宋" w:eastAsia="仿宋"/>
                <w:kern w:val="0"/>
                <w:sz w:val="24"/>
                <w:szCs w:val="24"/>
              </w:rPr>
              <w:t>实验</w:t>
            </w:r>
            <w:r>
              <w:rPr>
                <w:rFonts w:hint="eastAsia" w:ascii="仿宋" w:hAnsi="仿宋" w:eastAsia="仿宋"/>
                <w:kern w:val="0"/>
                <w:sz w:val="24"/>
                <w:szCs w:val="24"/>
              </w:rPr>
              <w:t>1个</w:t>
            </w:r>
            <w:r>
              <w:rPr>
                <w:rFonts w:ascii="仿宋" w:hAnsi="仿宋" w:eastAsia="仿宋"/>
                <w:kern w:val="0"/>
                <w:sz w:val="24"/>
                <w:szCs w:val="24"/>
              </w:rPr>
              <w:t>月；</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2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②</w:t>
            </w:r>
            <w:r>
              <w:rPr>
                <w:rFonts w:ascii="仿宋" w:hAnsi="仿宋" w:eastAsia="仿宋"/>
                <w:kern w:val="0"/>
                <w:sz w:val="24"/>
                <w:szCs w:val="24"/>
              </w:rPr>
              <w:fldChar w:fldCharType="end"/>
            </w:r>
            <w:r>
              <w:rPr>
                <w:rFonts w:ascii="仿宋" w:hAnsi="仿宋" w:eastAsia="仿宋"/>
                <w:kern w:val="0"/>
                <w:sz w:val="24"/>
                <w:szCs w:val="24"/>
              </w:rPr>
              <w:t>须重新参加</w:t>
            </w:r>
            <w:r>
              <w:rPr>
                <w:rFonts w:hint="eastAsia" w:ascii="仿宋" w:hAnsi="仿宋" w:eastAsia="仿宋"/>
                <w:kern w:val="0"/>
                <w:sz w:val="24"/>
                <w:szCs w:val="24"/>
              </w:rPr>
              <w:t>校级</w:t>
            </w:r>
            <w:r>
              <w:rPr>
                <w:rFonts w:ascii="仿宋" w:hAnsi="仿宋" w:eastAsia="仿宋"/>
                <w:kern w:val="0"/>
                <w:sz w:val="24"/>
                <w:szCs w:val="24"/>
              </w:rPr>
              <w:t>准入考核；</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3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③</w:t>
            </w:r>
            <w:r>
              <w:rPr>
                <w:rFonts w:ascii="仿宋" w:hAnsi="仿宋" w:eastAsia="仿宋"/>
                <w:kern w:val="0"/>
                <w:sz w:val="24"/>
                <w:szCs w:val="24"/>
              </w:rPr>
              <w:fldChar w:fldCharType="end"/>
            </w:r>
            <w:r>
              <w:rPr>
                <w:rFonts w:hint="eastAsia" w:ascii="仿宋" w:hAnsi="仿宋" w:eastAsia="仿宋"/>
                <w:kern w:val="0"/>
                <w:sz w:val="24"/>
                <w:szCs w:val="24"/>
              </w:rPr>
              <w:t>建议学校对其</w:t>
            </w:r>
            <w:r>
              <w:rPr>
                <w:rFonts w:ascii="仿宋" w:hAnsi="仿宋" w:eastAsia="仿宋"/>
                <w:kern w:val="0"/>
                <w:sz w:val="24"/>
                <w:szCs w:val="24"/>
              </w:rPr>
              <w:t>职称晋级</w:t>
            </w:r>
            <w:r>
              <w:rPr>
                <w:rFonts w:hint="eastAsia" w:ascii="仿宋" w:hAnsi="仿宋" w:eastAsia="仿宋"/>
                <w:kern w:val="0"/>
                <w:sz w:val="24"/>
                <w:szCs w:val="24"/>
              </w:rPr>
              <w:t>延迟</w:t>
            </w:r>
            <w:r>
              <w:rPr>
                <w:rFonts w:ascii="仿宋" w:hAnsi="仿宋" w:eastAsia="仿宋"/>
                <w:kern w:val="0"/>
                <w:sz w:val="24"/>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704" w:type="dxa"/>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2</w:t>
            </w:r>
          </w:p>
        </w:tc>
        <w:tc>
          <w:tcPr>
            <w:tcW w:w="1985" w:type="dxa"/>
            <w:gridSpan w:val="2"/>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实验室</w:t>
            </w:r>
          </w:p>
          <w:p>
            <w:pPr>
              <w:jc w:val="center"/>
              <w:rPr>
                <w:rFonts w:ascii="仿宋" w:hAnsi="仿宋" w:eastAsia="仿宋"/>
                <w:kern w:val="0"/>
                <w:sz w:val="24"/>
                <w:szCs w:val="24"/>
              </w:rPr>
            </w:pPr>
            <w:r>
              <w:rPr>
                <w:rFonts w:ascii="仿宋" w:hAnsi="仿宋" w:eastAsia="仿宋"/>
                <w:kern w:val="0"/>
                <w:sz w:val="24"/>
                <w:szCs w:val="24"/>
              </w:rPr>
              <w:t>安全责任人</w:t>
            </w:r>
          </w:p>
        </w:tc>
        <w:tc>
          <w:tcPr>
            <w:tcW w:w="2835" w:type="dxa"/>
            <w:shd w:val="clear" w:color="auto" w:fill="auto"/>
            <w:tcMar>
              <w:left w:w="28" w:type="dxa"/>
              <w:right w:w="28" w:type="dxa"/>
            </w:tcMar>
            <w:vAlign w:val="center"/>
          </w:tcPr>
          <w:p>
            <w:pPr>
              <w:jc w:val="left"/>
              <w:rPr>
                <w:rFonts w:ascii="仿宋" w:hAnsi="仿宋" w:eastAsia="仿宋"/>
                <w:kern w:val="0"/>
                <w:sz w:val="24"/>
                <w:szCs w:val="24"/>
              </w:rPr>
            </w:pPr>
            <w:r>
              <w:rPr>
                <w:rFonts w:hint="eastAsia" w:ascii="仿宋" w:hAnsi="仿宋" w:eastAsia="仿宋"/>
                <w:kern w:val="0"/>
                <w:sz w:val="24"/>
                <w:szCs w:val="24"/>
              </w:rPr>
              <w:t>关停</w:t>
            </w:r>
            <w:r>
              <w:rPr>
                <w:rFonts w:ascii="仿宋" w:hAnsi="仿宋" w:eastAsia="仿宋"/>
                <w:kern w:val="0"/>
                <w:sz w:val="24"/>
                <w:szCs w:val="24"/>
              </w:rPr>
              <w:t>实验室</w:t>
            </w:r>
            <w:r>
              <w:rPr>
                <w:rFonts w:hint="eastAsia" w:ascii="仿宋" w:hAnsi="仿宋" w:eastAsia="仿宋"/>
                <w:kern w:val="0"/>
                <w:sz w:val="24"/>
                <w:szCs w:val="24"/>
              </w:rPr>
              <w:t>2天完成整改，</w:t>
            </w:r>
            <w:r>
              <w:rPr>
                <w:rFonts w:ascii="仿宋" w:hAnsi="仿宋" w:eastAsia="仿宋"/>
                <w:kern w:val="0"/>
                <w:sz w:val="24"/>
                <w:szCs w:val="24"/>
              </w:rPr>
              <w:t>验收合格</w:t>
            </w:r>
          </w:p>
        </w:tc>
        <w:tc>
          <w:tcPr>
            <w:tcW w:w="3969" w:type="dxa"/>
            <w:shd w:val="clear" w:color="auto" w:fill="auto"/>
            <w:tcMar>
              <w:left w:w="0" w:type="dxa"/>
              <w:right w:w="0" w:type="dxa"/>
            </w:tcMar>
            <w:vAlign w:val="center"/>
          </w:tcPr>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1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①</w:t>
            </w:r>
            <w:r>
              <w:rPr>
                <w:rFonts w:ascii="仿宋" w:hAnsi="仿宋" w:eastAsia="仿宋"/>
                <w:kern w:val="0"/>
                <w:sz w:val="24"/>
                <w:szCs w:val="24"/>
              </w:rPr>
              <w:fldChar w:fldCharType="end"/>
            </w:r>
            <w:r>
              <w:rPr>
                <w:rFonts w:hint="eastAsia" w:ascii="仿宋" w:hAnsi="仿宋" w:eastAsia="仿宋"/>
                <w:kern w:val="0"/>
                <w:sz w:val="24"/>
                <w:szCs w:val="24"/>
              </w:rPr>
              <w:t>关停</w:t>
            </w:r>
            <w:r>
              <w:rPr>
                <w:rFonts w:ascii="仿宋" w:hAnsi="仿宋" w:eastAsia="仿宋"/>
                <w:kern w:val="0"/>
                <w:sz w:val="24"/>
                <w:szCs w:val="24"/>
              </w:rPr>
              <w:t>实验室7</w:t>
            </w:r>
            <w:r>
              <w:rPr>
                <w:rFonts w:hint="eastAsia" w:ascii="仿宋" w:hAnsi="仿宋" w:eastAsia="仿宋"/>
                <w:kern w:val="0"/>
                <w:sz w:val="24"/>
                <w:szCs w:val="24"/>
              </w:rPr>
              <w:t>天；</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2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②</w:t>
            </w:r>
            <w:r>
              <w:rPr>
                <w:rFonts w:ascii="仿宋" w:hAnsi="仿宋" w:eastAsia="仿宋"/>
                <w:kern w:val="0"/>
                <w:sz w:val="24"/>
                <w:szCs w:val="24"/>
              </w:rPr>
              <w:fldChar w:fldCharType="end"/>
            </w:r>
            <w:r>
              <w:rPr>
                <w:rFonts w:hint="eastAsia" w:ascii="仿宋" w:hAnsi="仿宋" w:eastAsia="仿宋"/>
                <w:kern w:val="0"/>
                <w:sz w:val="24"/>
                <w:szCs w:val="24"/>
              </w:rPr>
              <w:t>实验室安全</w:t>
            </w:r>
            <w:r>
              <w:rPr>
                <w:rFonts w:ascii="仿宋" w:hAnsi="仿宋" w:eastAsia="仿宋"/>
                <w:kern w:val="0"/>
                <w:sz w:val="24"/>
                <w:szCs w:val="24"/>
              </w:rPr>
              <w:t>风险等级提升一级；</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3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③</w:t>
            </w:r>
            <w:r>
              <w:rPr>
                <w:rFonts w:ascii="仿宋" w:hAnsi="仿宋" w:eastAsia="仿宋"/>
                <w:kern w:val="0"/>
                <w:sz w:val="24"/>
                <w:szCs w:val="24"/>
              </w:rPr>
              <w:fldChar w:fldCharType="end"/>
            </w:r>
            <w:r>
              <w:rPr>
                <w:rFonts w:hint="eastAsia" w:ascii="仿宋" w:hAnsi="仿宋" w:eastAsia="仿宋"/>
                <w:kern w:val="0"/>
                <w:sz w:val="24"/>
                <w:szCs w:val="24"/>
              </w:rPr>
              <w:t>建议取消</w:t>
            </w:r>
            <w:r>
              <w:rPr>
                <w:rFonts w:ascii="仿宋" w:hAnsi="仿宋" w:eastAsia="仿宋"/>
                <w:kern w:val="0"/>
                <w:sz w:val="24"/>
                <w:szCs w:val="24"/>
              </w:rPr>
              <w:t>评奖评优资格；</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4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④</w:t>
            </w:r>
            <w:r>
              <w:rPr>
                <w:rFonts w:ascii="仿宋" w:hAnsi="仿宋" w:eastAsia="仿宋"/>
                <w:kern w:val="0"/>
                <w:sz w:val="24"/>
                <w:szCs w:val="24"/>
              </w:rPr>
              <w:fldChar w:fldCharType="end"/>
            </w:r>
            <w:r>
              <w:rPr>
                <w:rFonts w:hint="eastAsia" w:ascii="仿宋" w:hAnsi="仿宋" w:eastAsia="仿宋"/>
                <w:kern w:val="0"/>
                <w:sz w:val="24"/>
                <w:szCs w:val="24"/>
              </w:rPr>
              <w:t>实验室所有</w:t>
            </w:r>
            <w:r>
              <w:rPr>
                <w:rFonts w:ascii="仿宋" w:hAnsi="仿宋" w:eastAsia="仿宋"/>
                <w:kern w:val="0"/>
                <w:sz w:val="24"/>
                <w:szCs w:val="24"/>
              </w:rPr>
              <w:t>人员参加校级准入考核</w:t>
            </w:r>
            <w:r>
              <w:rPr>
                <w:rFonts w:hint="eastAsia" w:ascii="仿宋" w:hAnsi="仿宋" w:eastAsia="仿宋"/>
                <w:kern w:val="0"/>
                <w:sz w:val="24"/>
                <w:szCs w:val="24"/>
              </w:rPr>
              <w:t>；</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5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⑤</w:t>
            </w:r>
            <w:r>
              <w:rPr>
                <w:rFonts w:ascii="仿宋" w:hAnsi="仿宋" w:eastAsia="仿宋"/>
                <w:kern w:val="0"/>
                <w:sz w:val="24"/>
                <w:szCs w:val="24"/>
              </w:rPr>
              <w:fldChar w:fldCharType="end"/>
            </w:r>
            <w:r>
              <w:rPr>
                <w:rFonts w:hint="eastAsia" w:ascii="仿宋" w:hAnsi="仿宋" w:eastAsia="仿宋"/>
                <w:kern w:val="0"/>
                <w:sz w:val="24"/>
                <w:szCs w:val="24"/>
              </w:rPr>
              <w:t>整改项目</w:t>
            </w:r>
            <w:r>
              <w:rPr>
                <w:rFonts w:ascii="仿宋" w:hAnsi="仿宋" w:eastAsia="仿宋"/>
                <w:kern w:val="0"/>
                <w:sz w:val="24"/>
                <w:szCs w:val="24"/>
              </w:rPr>
              <w:t>验收合格</w:t>
            </w:r>
          </w:p>
        </w:tc>
        <w:tc>
          <w:tcPr>
            <w:tcW w:w="4961" w:type="dxa"/>
            <w:shd w:val="clear" w:color="auto" w:fill="auto"/>
            <w:vAlign w:val="center"/>
          </w:tcPr>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1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①</w:t>
            </w:r>
            <w:r>
              <w:rPr>
                <w:rFonts w:ascii="仿宋" w:hAnsi="仿宋" w:eastAsia="仿宋"/>
                <w:kern w:val="0"/>
                <w:sz w:val="24"/>
                <w:szCs w:val="24"/>
              </w:rPr>
              <w:fldChar w:fldCharType="end"/>
            </w:r>
            <w:r>
              <w:rPr>
                <w:rFonts w:hint="eastAsia" w:ascii="仿宋" w:hAnsi="仿宋" w:eastAsia="仿宋"/>
                <w:kern w:val="0"/>
                <w:sz w:val="24"/>
                <w:szCs w:val="24"/>
              </w:rPr>
              <w:t>关停</w:t>
            </w:r>
            <w:r>
              <w:rPr>
                <w:rFonts w:ascii="仿宋" w:hAnsi="仿宋" w:eastAsia="仿宋"/>
                <w:kern w:val="0"/>
                <w:sz w:val="24"/>
                <w:szCs w:val="24"/>
              </w:rPr>
              <w:t>实验室1</w:t>
            </w:r>
            <w:r>
              <w:rPr>
                <w:rFonts w:hint="eastAsia" w:ascii="仿宋" w:hAnsi="仿宋" w:eastAsia="仿宋"/>
                <w:kern w:val="0"/>
                <w:sz w:val="24"/>
                <w:szCs w:val="24"/>
              </w:rPr>
              <w:t>个月；</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2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②</w:t>
            </w:r>
            <w:r>
              <w:rPr>
                <w:rFonts w:ascii="仿宋" w:hAnsi="仿宋" w:eastAsia="仿宋"/>
                <w:kern w:val="0"/>
                <w:sz w:val="24"/>
                <w:szCs w:val="24"/>
              </w:rPr>
              <w:fldChar w:fldCharType="end"/>
            </w:r>
            <w:r>
              <w:rPr>
                <w:rFonts w:hint="eastAsia" w:ascii="仿宋" w:hAnsi="仿宋" w:eastAsia="仿宋"/>
                <w:kern w:val="0"/>
                <w:sz w:val="24"/>
                <w:szCs w:val="24"/>
              </w:rPr>
              <w:t>建议学校对其</w:t>
            </w:r>
            <w:r>
              <w:rPr>
                <w:rFonts w:ascii="仿宋" w:hAnsi="仿宋" w:eastAsia="仿宋"/>
                <w:kern w:val="0"/>
                <w:sz w:val="24"/>
                <w:szCs w:val="24"/>
              </w:rPr>
              <w:t>职称晋级</w:t>
            </w:r>
            <w:r>
              <w:rPr>
                <w:rFonts w:hint="eastAsia" w:ascii="仿宋" w:hAnsi="仿宋" w:eastAsia="仿宋"/>
                <w:kern w:val="0"/>
                <w:sz w:val="24"/>
                <w:szCs w:val="24"/>
              </w:rPr>
              <w:t>延迟</w:t>
            </w:r>
            <w:r>
              <w:rPr>
                <w:rFonts w:ascii="仿宋" w:hAnsi="仿宋" w:eastAsia="仿宋"/>
                <w:kern w:val="0"/>
                <w:sz w:val="24"/>
                <w:szCs w:val="24"/>
              </w:rPr>
              <w:t>一年；</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3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③</w:t>
            </w:r>
            <w:r>
              <w:rPr>
                <w:rFonts w:ascii="仿宋" w:hAnsi="仿宋" w:eastAsia="仿宋"/>
                <w:kern w:val="0"/>
                <w:sz w:val="24"/>
                <w:szCs w:val="24"/>
              </w:rPr>
              <w:fldChar w:fldCharType="end"/>
            </w:r>
            <w:r>
              <w:rPr>
                <w:rFonts w:hint="eastAsia" w:ascii="仿宋" w:hAnsi="仿宋" w:eastAsia="仿宋"/>
                <w:kern w:val="0"/>
                <w:sz w:val="24"/>
                <w:szCs w:val="24"/>
              </w:rPr>
              <w:t>实验室所有</w:t>
            </w:r>
            <w:r>
              <w:rPr>
                <w:rFonts w:ascii="仿宋" w:hAnsi="仿宋" w:eastAsia="仿宋"/>
                <w:kern w:val="0"/>
                <w:sz w:val="24"/>
                <w:szCs w:val="24"/>
              </w:rPr>
              <w:t>人员参加校级准入考核</w:t>
            </w:r>
            <w:r>
              <w:rPr>
                <w:rFonts w:hint="eastAsia" w:ascii="仿宋" w:hAnsi="仿宋" w:eastAsia="仿宋"/>
                <w:kern w:val="0"/>
                <w:sz w:val="24"/>
                <w:szCs w:val="24"/>
              </w:rPr>
              <w:t>；</w:t>
            </w:r>
          </w:p>
          <w:p>
            <w:pPr>
              <w:jc w:val="left"/>
              <w:rPr>
                <w:rFonts w:hint="eastAsia" w:ascii="仿宋" w:hAnsi="仿宋" w:eastAsia="仿宋"/>
                <w:kern w:val="0"/>
                <w:sz w:val="24"/>
                <w:szCs w:val="24"/>
                <w:lang w:eastAsia="zh-CN"/>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4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④</w:t>
            </w:r>
            <w:r>
              <w:rPr>
                <w:rFonts w:ascii="仿宋" w:hAnsi="仿宋" w:eastAsia="仿宋"/>
                <w:kern w:val="0"/>
                <w:sz w:val="24"/>
                <w:szCs w:val="24"/>
              </w:rPr>
              <w:fldChar w:fldCharType="end"/>
            </w:r>
            <w:r>
              <w:rPr>
                <w:rFonts w:hint="eastAsia" w:ascii="仿宋" w:hAnsi="仿宋" w:eastAsia="仿宋"/>
                <w:kern w:val="0"/>
                <w:sz w:val="24"/>
                <w:szCs w:val="24"/>
              </w:rPr>
              <w:t>整改项目</w:t>
            </w:r>
            <w:r>
              <w:rPr>
                <w:rFonts w:ascii="仿宋" w:hAnsi="仿宋" w:eastAsia="仿宋"/>
                <w:kern w:val="0"/>
                <w:sz w:val="24"/>
                <w:szCs w:val="24"/>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trPr>
        <w:tc>
          <w:tcPr>
            <w:tcW w:w="704" w:type="dxa"/>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3</w:t>
            </w:r>
          </w:p>
        </w:tc>
        <w:tc>
          <w:tcPr>
            <w:tcW w:w="1985" w:type="dxa"/>
            <w:gridSpan w:val="2"/>
            <w:shd w:val="clear" w:color="auto" w:fill="auto"/>
            <w:vAlign w:val="center"/>
          </w:tcPr>
          <w:p>
            <w:pPr>
              <w:jc w:val="center"/>
              <w:rPr>
                <w:rFonts w:ascii="仿宋" w:hAnsi="仿宋" w:eastAsia="仿宋"/>
                <w:kern w:val="0"/>
                <w:sz w:val="24"/>
                <w:szCs w:val="24"/>
              </w:rPr>
            </w:pPr>
            <w:r>
              <w:rPr>
                <w:rFonts w:hint="eastAsia" w:ascii="仿宋" w:hAnsi="仿宋" w:eastAsia="仿宋"/>
                <w:kern w:val="0"/>
                <w:sz w:val="24"/>
                <w:szCs w:val="24"/>
              </w:rPr>
              <w:t>二级</w:t>
            </w:r>
            <w:r>
              <w:rPr>
                <w:rFonts w:ascii="仿宋" w:hAnsi="仿宋" w:eastAsia="仿宋"/>
                <w:kern w:val="0"/>
                <w:sz w:val="24"/>
                <w:szCs w:val="24"/>
              </w:rPr>
              <w:t>单位</w:t>
            </w:r>
          </w:p>
          <w:p>
            <w:pPr>
              <w:jc w:val="center"/>
              <w:rPr>
                <w:rFonts w:ascii="仿宋" w:hAnsi="仿宋" w:eastAsia="仿宋"/>
                <w:kern w:val="0"/>
                <w:sz w:val="24"/>
                <w:szCs w:val="24"/>
              </w:rPr>
            </w:pPr>
            <w:r>
              <w:rPr>
                <w:rFonts w:ascii="仿宋" w:hAnsi="仿宋" w:eastAsia="仿宋"/>
                <w:kern w:val="0"/>
                <w:sz w:val="24"/>
                <w:szCs w:val="24"/>
              </w:rPr>
              <w:t>安全责任人</w:t>
            </w:r>
          </w:p>
        </w:tc>
        <w:tc>
          <w:tcPr>
            <w:tcW w:w="2835" w:type="dxa"/>
            <w:shd w:val="clear" w:color="auto" w:fill="auto"/>
            <w:tcMar>
              <w:left w:w="28" w:type="dxa"/>
              <w:right w:w="28" w:type="dxa"/>
            </w:tcMar>
            <w:vAlign w:val="center"/>
          </w:tcPr>
          <w:p>
            <w:pPr>
              <w:jc w:val="left"/>
              <w:rPr>
                <w:rFonts w:ascii="仿宋" w:hAnsi="仿宋" w:eastAsia="仿宋"/>
                <w:kern w:val="0"/>
                <w:sz w:val="24"/>
                <w:szCs w:val="24"/>
              </w:rPr>
            </w:pPr>
            <w:r>
              <w:rPr>
                <w:rFonts w:ascii="仿宋" w:hAnsi="仿宋" w:eastAsia="仿宋"/>
                <w:kern w:val="0"/>
                <w:sz w:val="24"/>
                <w:szCs w:val="24"/>
              </w:rPr>
              <w:t>限期整改</w:t>
            </w:r>
            <w:r>
              <w:rPr>
                <w:rFonts w:hint="eastAsia" w:ascii="仿宋" w:hAnsi="仿宋" w:eastAsia="仿宋"/>
                <w:kern w:val="0"/>
                <w:sz w:val="24"/>
                <w:szCs w:val="24"/>
              </w:rPr>
              <w:t>，</w:t>
            </w:r>
            <w:r>
              <w:rPr>
                <w:rFonts w:ascii="仿宋" w:hAnsi="仿宋" w:eastAsia="仿宋"/>
                <w:kern w:val="0"/>
                <w:sz w:val="24"/>
                <w:szCs w:val="24"/>
              </w:rPr>
              <w:t>验收合格</w:t>
            </w:r>
          </w:p>
        </w:tc>
        <w:tc>
          <w:tcPr>
            <w:tcW w:w="3969" w:type="dxa"/>
            <w:shd w:val="clear" w:color="auto" w:fill="auto"/>
            <w:tcMar>
              <w:left w:w="28" w:type="dxa"/>
              <w:right w:w="28" w:type="dxa"/>
            </w:tcMar>
            <w:vAlign w:val="center"/>
          </w:tcPr>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1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①</w:t>
            </w:r>
            <w:r>
              <w:rPr>
                <w:rFonts w:ascii="仿宋" w:hAnsi="仿宋" w:eastAsia="仿宋"/>
                <w:kern w:val="0"/>
                <w:sz w:val="24"/>
                <w:szCs w:val="24"/>
              </w:rPr>
              <w:fldChar w:fldCharType="end"/>
            </w:r>
            <w:r>
              <w:rPr>
                <w:rFonts w:hint="eastAsia" w:ascii="仿宋" w:hAnsi="仿宋" w:eastAsia="仿宋"/>
                <w:kern w:val="0"/>
                <w:sz w:val="24"/>
                <w:szCs w:val="24"/>
              </w:rPr>
              <w:t>学校实验室技术安全工作领导小组</w:t>
            </w:r>
            <w:r>
              <w:rPr>
                <w:rFonts w:ascii="仿宋" w:hAnsi="仿宋" w:eastAsia="仿宋"/>
                <w:kern w:val="0"/>
                <w:sz w:val="24"/>
                <w:szCs w:val="24"/>
              </w:rPr>
              <w:t>副组长对二级单位负责人进行安全责任谈话；</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2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②</w:t>
            </w:r>
            <w:r>
              <w:rPr>
                <w:rFonts w:ascii="仿宋" w:hAnsi="仿宋" w:eastAsia="仿宋"/>
                <w:kern w:val="0"/>
                <w:sz w:val="24"/>
                <w:szCs w:val="24"/>
              </w:rPr>
              <w:fldChar w:fldCharType="end"/>
            </w:r>
            <w:r>
              <w:rPr>
                <w:rFonts w:ascii="仿宋" w:hAnsi="仿宋" w:eastAsia="仿宋"/>
                <w:kern w:val="0"/>
                <w:sz w:val="24"/>
                <w:szCs w:val="24"/>
              </w:rPr>
              <w:t>限期整改</w:t>
            </w:r>
            <w:r>
              <w:rPr>
                <w:rFonts w:hint="eastAsia" w:ascii="仿宋" w:hAnsi="仿宋" w:eastAsia="仿宋"/>
                <w:kern w:val="0"/>
                <w:sz w:val="24"/>
                <w:szCs w:val="24"/>
              </w:rPr>
              <w:t>，</w:t>
            </w:r>
            <w:r>
              <w:rPr>
                <w:rFonts w:ascii="仿宋" w:hAnsi="仿宋" w:eastAsia="仿宋"/>
                <w:kern w:val="0"/>
                <w:sz w:val="24"/>
                <w:szCs w:val="24"/>
              </w:rPr>
              <w:t>验收合格</w:t>
            </w:r>
          </w:p>
        </w:tc>
        <w:tc>
          <w:tcPr>
            <w:tcW w:w="4961" w:type="dxa"/>
            <w:shd w:val="clear" w:color="auto" w:fill="auto"/>
            <w:vAlign w:val="center"/>
          </w:tcPr>
          <w:p>
            <w:pPr>
              <w:jc w:val="left"/>
              <w:rPr>
                <w:rFonts w:ascii="仿宋" w:hAnsi="仿宋" w:eastAsia="仿宋"/>
                <w:kern w:val="0"/>
                <w:sz w:val="24"/>
                <w:szCs w:val="24"/>
              </w:rPr>
            </w:pPr>
            <w:r>
              <w:rPr>
                <w:rFonts w:hint="eastAsia" w:ascii="仿宋" w:hAnsi="仿宋" w:eastAsia="仿宋"/>
                <w:kern w:val="0"/>
                <w:sz w:val="24"/>
                <w:szCs w:val="24"/>
              </w:rPr>
              <w:t>二级单位</w:t>
            </w:r>
            <w:r>
              <w:rPr>
                <w:rFonts w:ascii="仿宋" w:hAnsi="仿宋" w:eastAsia="仿宋"/>
                <w:kern w:val="0"/>
                <w:sz w:val="24"/>
                <w:szCs w:val="24"/>
              </w:rPr>
              <w:t>实验</w:t>
            </w:r>
            <w:r>
              <w:rPr>
                <w:rFonts w:hint="eastAsia" w:ascii="仿宋" w:hAnsi="仿宋" w:eastAsia="仿宋"/>
                <w:kern w:val="0"/>
                <w:sz w:val="24"/>
                <w:szCs w:val="24"/>
              </w:rPr>
              <w:t>室</w:t>
            </w:r>
            <w:r>
              <w:rPr>
                <w:rFonts w:ascii="仿宋" w:hAnsi="仿宋" w:eastAsia="仿宋"/>
                <w:kern w:val="0"/>
                <w:sz w:val="24"/>
                <w:szCs w:val="24"/>
              </w:rPr>
              <w:t>人员计</w:t>
            </w:r>
            <w:r>
              <w:rPr>
                <w:rFonts w:hint="eastAsia" w:ascii="仿宋" w:hAnsi="仿宋" w:eastAsia="仿宋"/>
                <w:kern w:val="0"/>
                <w:sz w:val="24"/>
                <w:szCs w:val="24"/>
              </w:rPr>
              <w:t>1</w:t>
            </w:r>
            <w:r>
              <w:rPr>
                <w:rFonts w:ascii="仿宋" w:hAnsi="仿宋" w:eastAsia="仿宋"/>
                <w:kern w:val="0"/>
                <w:sz w:val="24"/>
                <w:szCs w:val="24"/>
              </w:rPr>
              <w:t>2分人数</w:t>
            </w:r>
            <w:r>
              <w:rPr>
                <w:rFonts w:hint="eastAsia" w:ascii="仿宋" w:hAnsi="仿宋" w:eastAsia="仿宋"/>
                <w:kern w:val="0"/>
                <w:sz w:val="24"/>
                <w:szCs w:val="24"/>
              </w:rPr>
              <w:t>≥1</w:t>
            </w:r>
            <w:r>
              <w:rPr>
                <w:rFonts w:ascii="仿宋" w:hAnsi="仿宋" w:eastAsia="仿宋"/>
                <w:kern w:val="0"/>
                <w:sz w:val="24"/>
                <w:szCs w:val="24"/>
              </w:rPr>
              <w:t>0人次或实验室安全责任人计</w:t>
            </w:r>
            <w:r>
              <w:rPr>
                <w:rFonts w:hint="eastAsia" w:ascii="仿宋" w:hAnsi="仿宋" w:eastAsia="仿宋"/>
                <w:kern w:val="0"/>
                <w:sz w:val="24"/>
                <w:szCs w:val="24"/>
              </w:rPr>
              <w:t>1</w:t>
            </w:r>
            <w:r>
              <w:rPr>
                <w:rFonts w:ascii="仿宋" w:hAnsi="仿宋" w:eastAsia="仿宋"/>
                <w:kern w:val="0"/>
                <w:sz w:val="24"/>
                <w:szCs w:val="24"/>
              </w:rPr>
              <w:t>2分人数</w:t>
            </w:r>
            <w:r>
              <w:rPr>
                <w:rFonts w:hint="eastAsia" w:ascii="仿宋" w:hAnsi="仿宋" w:eastAsia="仿宋"/>
                <w:kern w:val="0"/>
                <w:sz w:val="24"/>
                <w:szCs w:val="24"/>
              </w:rPr>
              <w:t>≥3时，</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1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①</w:t>
            </w:r>
            <w:r>
              <w:rPr>
                <w:rFonts w:ascii="仿宋" w:hAnsi="仿宋" w:eastAsia="仿宋"/>
                <w:kern w:val="0"/>
                <w:sz w:val="24"/>
                <w:szCs w:val="24"/>
              </w:rPr>
              <w:fldChar w:fldCharType="end"/>
            </w:r>
            <w:r>
              <w:rPr>
                <w:rFonts w:hint="eastAsia" w:ascii="仿宋" w:hAnsi="仿宋" w:eastAsia="仿宋"/>
                <w:kern w:val="0"/>
                <w:sz w:val="24"/>
                <w:szCs w:val="24"/>
              </w:rPr>
              <w:t>学校实验室技术安全工作领导小组</w:t>
            </w:r>
            <w:r>
              <w:rPr>
                <w:rFonts w:ascii="仿宋" w:hAnsi="仿宋" w:eastAsia="仿宋"/>
                <w:kern w:val="0"/>
                <w:sz w:val="24"/>
                <w:szCs w:val="24"/>
              </w:rPr>
              <w:t>组长对二级单位</w:t>
            </w:r>
            <w:r>
              <w:rPr>
                <w:rFonts w:hint="eastAsia" w:ascii="仿宋" w:hAnsi="仿宋" w:eastAsia="仿宋"/>
                <w:kern w:val="0"/>
                <w:sz w:val="24"/>
                <w:szCs w:val="24"/>
              </w:rPr>
              <w:t>主要</w:t>
            </w:r>
            <w:r>
              <w:rPr>
                <w:rFonts w:ascii="仿宋" w:hAnsi="仿宋" w:eastAsia="仿宋"/>
                <w:kern w:val="0"/>
                <w:sz w:val="24"/>
                <w:szCs w:val="24"/>
              </w:rPr>
              <w:t>负责人进行安全责任谈话</w:t>
            </w:r>
            <w:r>
              <w:rPr>
                <w:rFonts w:hint="eastAsia" w:ascii="仿宋" w:hAnsi="仿宋" w:eastAsia="仿宋"/>
                <w:kern w:val="0"/>
                <w:sz w:val="24"/>
                <w:szCs w:val="24"/>
              </w:rPr>
              <w:t>；</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2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②</w:t>
            </w:r>
            <w:r>
              <w:rPr>
                <w:rFonts w:ascii="仿宋" w:hAnsi="仿宋" w:eastAsia="仿宋"/>
                <w:kern w:val="0"/>
                <w:sz w:val="24"/>
                <w:szCs w:val="24"/>
              </w:rPr>
              <w:fldChar w:fldCharType="end"/>
            </w:r>
            <w:r>
              <w:rPr>
                <w:rFonts w:hint="eastAsia" w:ascii="仿宋" w:hAnsi="仿宋" w:eastAsia="仿宋"/>
                <w:kern w:val="0"/>
                <w:sz w:val="24"/>
                <w:szCs w:val="24"/>
              </w:rPr>
              <w:t>二级单位所有科研实验室关停2周；</w:t>
            </w:r>
          </w:p>
          <w:p>
            <w:pPr>
              <w:jc w:val="left"/>
              <w:rPr>
                <w:rFonts w:ascii="仿宋" w:hAnsi="仿宋" w:eastAsia="仿宋"/>
                <w:kern w:val="0"/>
                <w:sz w:val="24"/>
                <w:szCs w:val="24"/>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3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③</w:t>
            </w:r>
            <w:r>
              <w:rPr>
                <w:rFonts w:ascii="仿宋" w:hAnsi="仿宋" w:eastAsia="仿宋"/>
                <w:kern w:val="0"/>
                <w:sz w:val="24"/>
                <w:szCs w:val="24"/>
              </w:rPr>
              <w:fldChar w:fldCharType="end"/>
            </w:r>
            <w:r>
              <w:rPr>
                <w:rFonts w:hint="eastAsia" w:ascii="仿宋" w:hAnsi="仿宋" w:eastAsia="仿宋"/>
                <w:kern w:val="0"/>
                <w:sz w:val="24"/>
                <w:szCs w:val="24"/>
              </w:rPr>
              <w:t>二级单位所有实验室</w:t>
            </w:r>
            <w:r>
              <w:rPr>
                <w:rFonts w:ascii="仿宋" w:hAnsi="仿宋" w:eastAsia="仿宋"/>
                <w:kern w:val="0"/>
                <w:sz w:val="24"/>
                <w:szCs w:val="24"/>
              </w:rPr>
              <w:t>人员参加校级准入考核</w:t>
            </w:r>
            <w:r>
              <w:rPr>
                <w:rFonts w:hint="eastAsia" w:ascii="仿宋" w:hAnsi="仿宋" w:eastAsia="仿宋"/>
                <w:kern w:val="0"/>
                <w:sz w:val="24"/>
                <w:szCs w:val="24"/>
              </w:rPr>
              <w:t>；</w:t>
            </w:r>
          </w:p>
          <w:p>
            <w:pPr>
              <w:jc w:val="left"/>
              <w:rPr>
                <w:rFonts w:hint="eastAsia" w:ascii="仿宋" w:hAnsi="仿宋" w:eastAsia="仿宋"/>
                <w:kern w:val="0"/>
                <w:sz w:val="24"/>
                <w:szCs w:val="24"/>
                <w:lang w:eastAsia="zh-CN"/>
              </w:rPr>
            </w:pPr>
            <w:r>
              <w:rPr>
                <w:rFonts w:ascii="仿宋" w:hAnsi="仿宋" w:eastAsia="仿宋"/>
                <w:kern w:val="0"/>
                <w:sz w:val="24"/>
                <w:szCs w:val="24"/>
              </w:rPr>
              <w:fldChar w:fldCharType="begin"/>
            </w:r>
            <w:r>
              <w:rPr>
                <w:rFonts w:ascii="仿宋" w:hAnsi="仿宋" w:eastAsia="仿宋"/>
                <w:kern w:val="0"/>
                <w:sz w:val="24"/>
                <w:szCs w:val="24"/>
              </w:rPr>
              <w:instrText xml:space="preserve"> </w:instrText>
            </w:r>
            <w:r>
              <w:rPr>
                <w:rFonts w:hint="eastAsia" w:ascii="仿宋" w:hAnsi="仿宋" w:eastAsia="仿宋"/>
                <w:kern w:val="0"/>
                <w:sz w:val="24"/>
                <w:szCs w:val="24"/>
              </w:rPr>
              <w:instrText xml:space="preserve">= 4 \* GB3</w:instrText>
            </w:r>
            <w:r>
              <w:rPr>
                <w:rFonts w:ascii="仿宋" w:hAnsi="仿宋" w:eastAsia="仿宋"/>
                <w:kern w:val="0"/>
                <w:sz w:val="24"/>
                <w:szCs w:val="24"/>
              </w:rPr>
              <w:instrText xml:space="preserve"> </w:instrText>
            </w:r>
            <w:r>
              <w:rPr>
                <w:rFonts w:ascii="仿宋" w:hAnsi="仿宋" w:eastAsia="仿宋"/>
                <w:kern w:val="0"/>
                <w:sz w:val="24"/>
                <w:szCs w:val="24"/>
              </w:rPr>
              <w:fldChar w:fldCharType="separate"/>
            </w:r>
            <w:r>
              <w:rPr>
                <w:rFonts w:hint="eastAsia" w:ascii="仿宋" w:hAnsi="仿宋" w:eastAsia="仿宋"/>
                <w:kern w:val="0"/>
                <w:sz w:val="24"/>
                <w:szCs w:val="24"/>
              </w:rPr>
              <w:t>④</w:t>
            </w:r>
            <w:r>
              <w:rPr>
                <w:rFonts w:ascii="仿宋" w:hAnsi="仿宋" w:eastAsia="仿宋"/>
                <w:kern w:val="0"/>
                <w:sz w:val="24"/>
                <w:szCs w:val="24"/>
              </w:rPr>
              <w:fldChar w:fldCharType="end"/>
            </w:r>
            <w:r>
              <w:rPr>
                <w:rFonts w:hint="eastAsia" w:ascii="仿宋" w:hAnsi="仿宋" w:eastAsia="仿宋"/>
                <w:kern w:val="0"/>
                <w:sz w:val="24"/>
                <w:szCs w:val="24"/>
              </w:rPr>
              <w:t>建议学校</w:t>
            </w:r>
            <w:r>
              <w:rPr>
                <w:rFonts w:ascii="仿宋" w:hAnsi="仿宋" w:eastAsia="仿宋"/>
                <w:kern w:val="0"/>
                <w:sz w:val="24"/>
                <w:szCs w:val="24"/>
              </w:rPr>
              <w:t>核减二级单位的评奖评优名额、</w:t>
            </w:r>
            <w:r>
              <w:rPr>
                <w:rFonts w:hint="eastAsia" w:ascii="仿宋" w:hAnsi="仿宋" w:eastAsia="仿宋"/>
                <w:kern w:val="0"/>
                <w:sz w:val="24"/>
                <w:szCs w:val="24"/>
              </w:rPr>
              <w:t>经费</w:t>
            </w:r>
            <w:r>
              <w:rPr>
                <w:rFonts w:ascii="仿宋" w:hAnsi="仿宋" w:eastAsia="仿宋"/>
                <w:kern w:val="0"/>
                <w:sz w:val="24"/>
                <w:szCs w:val="24"/>
              </w:rPr>
              <w:t>额度、设备购置费、年终考核</w:t>
            </w:r>
            <w:r>
              <w:rPr>
                <w:rFonts w:hint="eastAsia" w:ascii="仿宋" w:hAnsi="仿宋" w:eastAsia="仿宋"/>
                <w:kern w:val="0"/>
                <w:sz w:val="24"/>
                <w:szCs w:val="24"/>
              </w:rPr>
              <w:t>优秀</w:t>
            </w:r>
            <w:r>
              <w:rPr>
                <w:rFonts w:ascii="仿宋" w:hAnsi="仿宋" w:eastAsia="仿宋"/>
                <w:kern w:val="0"/>
                <w:sz w:val="24"/>
                <w:szCs w:val="24"/>
              </w:rPr>
              <w:t>名额、研究生招生指标</w:t>
            </w:r>
            <w:r>
              <w:rPr>
                <w:rFonts w:hint="eastAsia" w:ascii="仿宋" w:hAnsi="仿宋" w:eastAsia="仿宋"/>
                <w:kern w:val="0"/>
                <w:sz w:val="24"/>
                <w:szCs w:val="24"/>
              </w:rPr>
              <w:t>等</w:t>
            </w:r>
          </w:p>
        </w:tc>
      </w:tr>
    </w:tbl>
    <w:p>
      <w:pPr>
        <w:ind w:firstLine="1400" w:firstLineChars="500"/>
        <w:jc w:val="left"/>
        <w:rPr>
          <w:rFonts w:hint="eastAsia" w:ascii="仿宋" w:hAnsi="仿宋" w:eastAsia="仿宋"/>
          <w:sz w:val="28"/>
          <w:szCs w:val="28"/>
        </w:rPr>
      </w:pPr>
    </w:p>
    <w:p>
      <w:pPr>
        <w:ind w:firstLine="480" w:firstLineChars="200"/>
        <w:jc w:val="left"/>
        <w:rPr>
          <w:rFonts w:ascii="仿宋" w:hAnsi="仿宋" w:eastAsia="仿宋"/>
          <w:sz w:val="24"/>
          <w:szCs w:val="24"/>
        </w:rPr>
      </w:pPr>
      <w:r>
        <w:rPr>
          <w:rFonts w:hint="eastAsia" w:ascii="仿宋" w:hAnsi="仿宋" w:eastAsia="仿宋"/>
          <w:sz w:val="24"/>
          <w:szCs w:val="24"/>
        </w:rPr>
        <w:t>备注</w:t>
      </w:r>
      <w:r>
        <w:rPr>
          <w:rFonts w:ascii="仿宋" w:hAnsi="仿宋" w:eastAsia="仿宋"/>
          <w:sz w:val="24"/>
          <w:szCs w:val="24"/>
        </w:rPr>
        <w:t>：</w:t>
      </w:r>
      <w:r>
        <w:rPr>
          <w:rFonts w:hint="eastAsia" w:ascii="仿宋" w:hAnsi="仿宋" w:eastAsia="仿宋"/>
          <w:sz w:val="24"/>
          <w:szCs w:val="24"/>
        </w:rPr>
        <w:t>1.所有</w:t>
      </w:r>
      <w:r>
        <w:rPr>
          <w:rFonts w:ascii="仿宋" w:hAnsi="仿宋" w:eastAsia="仿宋"/>
          <w:sz w:val="24"/>
          <w:szCs w:val="24"/>
        </w:rPr>
        <w:t>计分对象</w:t>
      </w:r>
      <w:r>
        <w:rPr>
          <w:rFonts w:hint="eastAsia" w:ascii="仿宋" w:hAnsi="仿宋" w:eastAsia="仿宋"/>
          <w:sz w:val="24"/>
          <w:szCs w:val="24"/>
        </w:rPr>
        <w:t>接受</w:t>
      </w:r>
      <w:r>
        <w:rPr>
          <w:rFonts w:ascii="仿宋" w:hAnsi="仿宋" w:eastAsia="仿宋"/>
          <w:sz w:val="24"/>
          <w:szCs w:val="24"/>
        </w:rPr>
        <w:t>或参加</w:t>
      </w:r>
      <w:r>
        <w:rPr>
          <w:rFonts w:hint="eastAsia" w:ascii="仿宋" w:hAnsi="仿宋" w:eastAsia="仿宋"/>
          <w:sz w:val="24"/>
          <w:szCs w:val="24"/>
        </w:rPr>
        <w:t>考核</w:t>
      </w:r>
      <w:r>
        <w:rPr>
          <w:rFonts w:ascii="仿宋" w:hAnsi="仿宋" w:eastAsia="仿宋"/>
          <w:sz w:val="24"/>
          <w:szCs w:val="24"/>
        </w:rPr>
        <w:t>，必须考核合格</w:t>
      </w:r>
      <w:r>
        <w:rPr>
          <w:rFonts w:hint="eastAsia" w:ascii="仿宋" w:hAnsi="仿宋" w:eastAsia="仿宋"/>
          <w:sz w:val="24"/>
          <w:szCs w:val="24"/>
        </w:rPr>
        <w:t>后方可</w:t>
      </w:r>
      <w:r>
        <w:rPr>
          <w:rFonts w:ascii="仿宋" w:hAnsi="仿宋" w:eastAsia="仿宋"/>
          <w:sz w:val="24"/>
          <w:szCs w:val="24"/>
        </w:rPr>
        <w:t>继续进行实验</w:t>
      </w:r>
      <w:r>
        <w:rPr>
          <w:rFonts w:hint="eastAsia" w:ascii="仿宋" w:hAnsi="仿宋" w:eastAsia="仿宋"/>
          <w:sz w:val="24"/>
          <w:szCs w:val="24"/>
        </w:rPr>
        <w:t>。</w:t>
      </w:r>
    </w:p>
    <w:p>
      <w:pPr>
        <w:ind w:firstLine="1200" w:firstLineChars="5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凡</w:t>
      </w:r>
      <w:r>
        <w:rPr>
          <w:rFonts w:ascii="仿宋" w:hAnsi="仿宋" w:eastAsia="仿宋"/>
          <w:sz w:val="24"/>
          <w:szCs w:val="24"/>
        </w:rPr>
        <w:t>涉及关停实验室的</w:t>
      </w:r>
      <w:r>
        <w:rPr>
          <w:rFonts w:hint="eastAsia" w:ascii="仿宋" w:hAnsi="仿宋" w:eastAsia="仿宋"/>
          <w:sz w:val="24"/>
          <w:szCs w:val="24"/>
        </w:rPr>
        <w:t>，</w:t>
      </w:r>
      <w:r>
        <w:rPr>
          <w:rFonts w:ascii="仿宋" w:hAnsi="仿宋" w:eastAsia="仿宋"/>
          <w:sz w:val="24"/>
          <w:szCs w:val="24"/>
        </w:rPr>
        <w:t>必须待处罚期满方可继续进行实验</w:t>
      </w:r>
      <w:r>
        <w:rPr>
          <w:rFonts w:hint="eastAsia" w:ascii="仿宋" w:hAnsi="仿宋" w:eastAsia="仿宋"/>
          <w:sz w:val="24"/>
          <w:szCs w:val="24"/>
        </w:rPr>
        <w:t>。</w:t>
      </w:r>
    </w:p>
    <w:p>
      <w:pPr>
        <w:ind w:firstLine="1200" w:firstLineChars="500"/>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计分</w:t>
      </w:r>
      <w:r>
        <w:rPr>
          <w:rFonts w:ascii="仿宋" w:hAnsi="仿宋" w:eastAsia="仿宋"/>
          <w:sz w:val="24"/>
          <w:szCs w:val="24"/>
        </w:rPr>
        <w:t>满</w:t>
      </w:r>
      <w:r>
        <w:rPr>
          <w:rFonts w:hint="eastAsia" w:ascii="仿宋" w:hAnsi="仿宋" w:eastAsia="仿宋"/>
          <w:sz w:val="24"/>
          <w:szCs w:val="24"/>
        </w:rPr>
        <w:t>12分</w:t>
      </w:r>
      <w:r>
        <w:rPr>
          <w:rFonts w:ascii="仿宋" w:hAnsi="仿宋" w:eastAsia="仿宋"/>
          <w:sz w:val="24"/>
          <w:szCs w:val="24"/>
        </w:rPr>
        <w:t>时，</w:t>
      </w:r>
      <w:r>
        <w:rPr>
          <w:rFonts w:hint="eastAsia" w:ascii="仿宋" w:hAnsi="仿宋" w:eastAsia="仿宋"/>
          <w:sz w:val="24"/>
          <w:szCs w:val="24"/>
        </w:rPr>
        <w:t>各</w:t>
      </w:r>
      <w:r>
        <w:rPr>
          <w:rFonts w:ascii="仿宋" w:hAnsi="仿宋" w:eastAsia="仿宋"/>
          <w:sz w:val="24"/>
          <w:szCs w:val="24"/>
        </w:rPr>
        <w:t>个计分对象必须完成</w:t>
      </w:r>
      <w:r>
        <w:rPr>
          <w:rFonts w:hint="eastAsia" w:ascii="仿宋" w:hAnsi="仿宋" w:eastAsia="仿宋"/>
          <w:sz w:val="24"/>
          <w:szCs w:val="24"/>
        </w:rPr>
        <w:t>对应</w:t>
      </w:r>
      <w:r>
        <w:rPr>
          <w:rFonts w:ascii="仿宋" w:hAnsi="仿宋" w:eastAsia="仿宋"/>
          <w:sz w:val="24"/>
          <w:szCs w:val="24"/>
        </w:rPr>
        <w:t>的所有</w:t>
      </w:r>
      <w:r>
        <w:rPr>
          <w:rFonts w:hint="eastAsia" w:ascii="仿宋" w:hAnsi="仿宋" w:eastAsia="仿宋"/>
          <w:sz w:val="24"/>
          <w:szCs w:val="24"/>
        </w:rPr>
        <w:t>条件</w:t>
      </w:r>
      <w:r>
        <w:rPr>
          <w:rFonts w:ascii="仿宋" w:hAnsi="仿宋" w:eastAsia="仿宋"/>
          <w:sz w:val="24"/>
          <w:szCs w:val="24"/>
        </w:rPr>
        <w:t>后，计分方可归零开始重新计分。</w:t>
      </w:r>
    </w:p>
    <w:p>
      <w:pPr>
        <w:ind w:firstLine="1200" w:firstLineChars="500"/>
        <w:jc w:val="left"/>
        <w:rPr>
          <w:rFonts w:ascii="仿宋" w:hAnsi="仿宋" w:eastAsia="仿宋"/>
          <w:sz w:val="24"/>
          <w:szCs w:val="24"/>
        </w:rPr>
      </w:pPr>
      <w:r>
        <w:rPr>
          <w:rFonts w:hint="eastAsia" w:ascii="仿宋" w:hAnsi="仿宋" w:eastAsia="仿宋"/>
          <w:sz w:val="24"/>
          <w:szCs w:val="24"/>
        </w:rPr>
        <w:t>4.计分</w:t>
      </w:r>
      <w:r>
        <w:rPr>
          <w:rFonts w:ascii="仿宋" w:hAnsi="仿宋" w:eastAsia="仿宋"/>
          <w:sz w:val="24"/>
          <w:szCs w:val="24"/>
        </w:rPr>
        <w:t>满</w:t>
      </w:r>
      <w:r>
        <w:rPr>
          <w:rFonts w:hint="eastAsia" w:ascii="仿宋" w:hAnsi="仿宋" w:eastAsia="仿宋"/>
          <w:sz w:val="24"/>
          <w:szCs w:val="24"/>
        </w:rPr>
        <w:t>12分≥2次不</w:t>
      </w:r>
      <w:r>
        <w:rPr>
          <w:rFonts w:ascii="仿宋" w:hAnsi="仿宋" w:eastAsia="仿宋"/>
          <w:sz w:val="24"/>
          <w:szCs w:val="24"/>
        </w:rPr>
        <w:t>适用于二级单位安全责任人</w:t>
      </w:r>
      <w:r>
        <w:rPr>
          <w:rFonts w:hint="eastAsia" w:ascii="仿宋" w:hAnsi="仿宋" w:eastAsia="仿宋"/>
          <w:sz w:val="24"/>
          <w:szCs w:val="24"/>
        </w:rPr>
        <w:t>；</w:t>
      </w:r>
      <w:r>
        <w:rPr>
          <w:rFonts w:ascii="仿宋" w:hAnsi="仿宋" w:eastAsia="仿宋"/>
          <w:sz w:val="24"/>
          <w:szCs w:val="24"/>
        </w:rPr>
        <w:t>二级单位的安全责任人</w:t>
      </w:r>
      <w:r>
        <w:rPr>
          <w:rFonts w:hint="eastAsia" w:ascii="仿宋" w:hAnsi="仿宋" w:eastAsia="仿宋"/>
          <w:sz w:val="24"/>
          <w:szCs w:val="24"/>
        </w:rPr>
        <w:t>匹配</w:t>
      </w:r>
      <w:r>
        <w:rPr>
          <w:rFonts w:ascii="仿宋" w:hAnsi="仿宋" w:eastAsia="仿宋"/>
          <w:sz w:val="24"/>
          <w:szCs w:val="24"/>
        </w:rPr>
        <w:t>第三行</w:t>
      </w:r>
      <w:r>
        <w:rPr>
          <w:rFonts w:hint="eastAsia" w:ascii="仿宋" w:hAnsi="仿宋" w:eastAsia="仿宋"/>
          <w:sz w:val="24"/>
          <w:szCs w:val="24"/>
        </w:rPr>
        <w:t>所有</w:t>
      </w:r>
      <w:r>
        <w:rPr>
          <w:rFonts w:ascii="仿宋" w:hAnsi="仿宋" w:eastAsia="仿宋"/>
          <w:sz w:val="24"/>
          <w:szCs w:val="24"/>
        </w:rPr>
        <w:t>条件。</w:t>
      </w:r>
    </w:p>
    <w:p>
      <w:pPr>
        <w:ind w:firstLine="1400" w:firstLineChars="500"/>
        <w:jc w:val="left"/>
        <w:rPr>
          <w:rFonts w:hint="eastAsia" w:ascii="仿宋" w:hAnsi="仿宋" w:eastAsia="仿宋"/>
          <w:sz w:val="28"/>
          <w:szCs w:val="28"/>
        </w:rPr>
      </w:pPr>
    </w:p>
    <w:p>
      <w:pPr>
        <w:ind w:firstLine="1400" w:firstLineChars="500"/>
        <w:jc w:val="left"/>
        <w:rPr>
          <w:rFonts w:hint="eastAsia" w:ascii="仿宋" w:hAnsi="仿宋" w:eastAsia="仿宋"/>
          <w:sz w:val="28"/>
          <w:szCs w:val="28"/>
        </w:rPr>
      </w:pPr>
    </w:p>
    <w:p>
      <w:pPr>
        <w:ind w:firstLine="1400" w:firstLineChars="500"/>
        <w:jc w:val="left"/>
        <w:rPr>
          <w:rFonts w:hint="eastAsia" w:ascii="仿宋" w:hAnsi="仿宋" w:eastAsia="仿宋"/>
          <w:sz w:val="28"/>
          <w:szCs w:val="28"/>
        </w:rPr>
      </w:pPr>
    </w:p>
    <w:p>
      <w:pPr>
        <w:ind w:firstLine="1400" w:firstLineChars="500"/>
        <w:jc w:val="left"/>
        <w:rPr>
          <w:rFonts w:hint="eastAsia" w:ascii="仿宋" w:hAnsi="仿宋" w:eastAsia="仿宋"/>
          <w:sz w:val="28"/>
          <w:szCs w:val="28"/>
        </w:rPr>
      </w:pPr>
    </w:p>
    <w:p>
      <w:pPr>
        <w:ind w:firstLine="1400" w:firstLineChars="500"/>
        <w:jc w:val="left"/>
        <w:rPr>
          <w:rFonts w:hint="eastAsia" w:ascii="仿宋" w:hAnsi="仿宋" w:eastAsia="仿宋"/>
          <w:sz w:val="28"/>
          <w:szCs w:val="28"/>
        </w:rPr>
      </w:pPr>
      <w:bookmarkStart w:id="2" w:name="_GoBack"/>
      <w:bookmarkEnd w:id="2"/>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posOffset>4969510</wp:posOffset>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w:t>
                          </w:r>
                          <w:r>
                            <w:rPr>
                              <w:color w:val="auto"/>
                            </w:rPr>
                            <w:t xml:space="preserve"> </w:t>
                          </w:r>
                          <w:r>
                            <w:rPr>
                              <w:color w:val="auto"/>
                              <w:sz w:val="28"/>
                              <w:szCs w:val="28"/>
                            </w:rPr>
                            <w:fldChar w:fldCharType="begin"/>
                          </w:r>
                          <w:r>
                            <w:rPr>
                              <w:color w:val="auto"/>
                              <w:sz w:val="28"/>
                              <w:szCs w:val="28"/>
                            </w:rPr>
                            <w:instrText xml:space="preserve"> PAGE  \* MERGEFORMAT </w:instrText>
                          </w:r>
                          <w:r>
                            <w:rPr>
                              <w:color w:val="auto"/>
                              <w:sz w:val="28"/>
                              <w:szCs w:val="28"/>
                            </w:rPr>
                            <w:fldChar w:fldCharType="separate"/>
                          </w:r>
                          <w:r>
                            <w:rPr>
                              <w:rFonts w:hint="eastAsia"/>
                              <w:color w:val="auto"/>
                              <w:sz w:val="28"/>
                              <w:szCs w:val="28"/>
                            </w:rPr>
                            <w:t>１</w:t>
                          </w:r>
                          <w:r>
                            <w:rPr>
                              <w:color w:val="auto"/>
                              <w:sz w:val="28"/>
                              <w:szCs w:val="28"/>
                            </w:rPr>
                            <w:fldChar w:fldCharType="end"/>
                          </w:r>
                          <w:r>
                            <w:rPr>
                              <w:color w:val="auto"/>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1.3pt;margin-top:4.5pt;height:144pt;width:144pt;mso-position-horizontal-relative:margin;mso-wrap-style:none;z-index:251660288;mso-width-relative:page;mso-height-relative:page;" filled="f" stroked="f" coordsize="21600,21600" o:gfxdata="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MUB0szDAREp9&#10;6dEK7b4d+OxNcQZNZ/o58ZZvapSyZT48MIfBQPl4OuEeSykNUprBoqQy7su/zmM8+gUvJQ0GLaca&#10;74oS+V6jjwAMo+FGYz8a+qjuDCYXvUEtnYkLLsjRLJ1Rn/GeVjEHXExzZMppGM270A873iMXq1UX&#10;hMmzLGz1zvIIHeXxdnUMkLNTOYrSK4HuxA1mr+vT8E7icP+576Ie/w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nIkv7XAAAACgEAAA8AAAAAAAAAAQAgAAAAIgAAAGRycy9kb3ducmV2LnhtbFBL&#10;AQIUABQAAAAIAIdO4kBQeBxdMAIAAGMEAAAOAAAAAAAAAAEAIAAAACYBAABkcnMvZTJvRG9jLnht&#10;bFBLBQYAAAAABgAGAFkBAADIBQAAAAA=&#10;">
              <v:fill on="f" focussize="0,0"/>
              <v:stroke on="f" weight="0.5pt"/>
              <v:imagedata o:title=""/>
              <o:lock v:ext="edit" aspectratio="f"/>
              <v:textbox inset="0mm,0mm,0mm,0mm" style="mso-fit-shape-to-text:t;">
                <w:txbxContent>
                  <w:p>
                    <w:pPr>
                      <w:pStyle w:val="5"/>
                    </w:pPr>
                    <w:r>
                      <w:t>—</w:t>
                    </w:r>
                    <w:r>
                      <w:rPr>
                        <w:color w:val="auto"/>
                      </w:rPr>
                      <w:t xml:space="preserve"> </w:t>
                    </w:r>
                    <w:r>
                      <w:rPr>
                        <w:color w:val="auto"/>
                        <w:sz w:val="28"/>
                        <w:szCs w:val="28"/>
                      </w:rPr>
                      <w:fldChar w:fldCharType="begin"/>
                    </w:r>
                    <w:r>
                      <w:rPr>
                        <w:color w:val="auto"/>
                        <w:sz w:val="28"/>
                        <w:szCs w:val="28"/>
                      </w:rPr>
                      <w:instrText xml:space="preserve"> PAGE  \* MERGEFORMAT </w:instrText>
                    </w:r>
                    <w:r>
                      <w:rPr>
                        <w:color w:val="auto"/>
                        <w:sz w:val="28"/>
                        <w:szCs w:val="28"/>
                      </w:rPr>
                      <w:fldChar w:fldCharType="separate"/>
                    </w:r>
                    <w:r>
                      <w:rPr>
                        <w:rFonts w:hint="eastAsia"/>
                        <w:color w:val="auto"/>
                        <w:sz w:val="28"/>
                        <w:szCs w:val="28"/>
                      </w:rPr>
                      <w:t>１</w:t>
                    </w:r>
                    <w:r>
                      <w:rPr>
                        <w:color w:val="auto"/>
                        <w:sz w:val="28"/>
                        <w:szCs w:val="28"/>
                      </w:rPr>
                      <w:fldChar w:fldCharType="end"/>
                    </w:r>
                    <w:r>
                      <w:rPr>
                        <w:color w:val="auto"/>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45085</wp:posOffset>
              </wp:positionH>
              <wp:positionV relativeFrom="paragraph">
                <wp:posOffset>-74295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rFonts w:hint="eastAsia"/>
                              <w:sz w:val="28"/>
                              <w:szCs w:val="28"/>
                            </w:rPr>
                            <w:t>１</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55pt;margin-top:-5.85pt;height:144pt;width:144pt;mso-position-horizontal-relative:margin;mso-wrap-style:none;z-index:251659264;mso-width-relative:page;mso-height-relative:page;" filled="f" stroked="f" coordsize="21600,21600" o:gfxdata="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tPUYq1wAAAAkBAAAPAAAAAAAAAAEAIAAAACIAAABkcnMvZG93bnJldi54bWxQ&#10;SwECFAAUAAAACACHTuJAhvGZtDECAABjBAAADgAAAAAAAAABACAAAAAmAQAAZHJzL2Uyb0RvYy54&#10;bWxQSwUGAAAAAAYABgBZAQAAyQUAAAAA&#10;">
              <v:fill on="f" focussize="0,0"/>
              <v:stroke on="f" weight="0.5pt"/>
              <v:imagedata o:title=""/>
              <o:lock v:ext="edit" aspectratio="f"/>
              <v:textbox inset="0mm,0mm,0mm,0mm" style="mso-fit-shape-to-text:t;">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rFonts w:hint="eastAsia"/>
                        <w:sz w:val="28"/>
                        <w:szCs w:val="28"/>
                      </w:rPr>
                      <w:t>１</w:t>
                    </w:r>
                    <w:r>
                      <w:rPr>
                        <w:sz w:val="28"/>
                        <w:szCs w:val="28"/>
                      </w:rP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248056"/>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7194"/>
    <w:multiLevelType w:val="multilevel"/>
    <w:tmpl w:val="09DC7194"/>
    <w:lvl w:ilvl="0" w:tentative="0">
      <w:start w:val="1"/>
      <w:numFmt w:val="decimal"/>
      <w:pStyle w:val="24"/>
      <w:lvlText w:val="%1"/>
      <w:lvlJc w:val="left"/>
      <w:pPr>
        <w:tabs>
          <w:tab w:val="left" w:pos="653"/>
        </w:tabs>
        <w:ind w:left="653" w:hanging="709"/>
      </w:pPr>
    </w:lvl>
    <w:lvl w:ilvl="1" w:tentative="0">
      <w:start w:val="4"/>
      <w:numFmt w:val="decimal"/>
      <w:lvlText w:val="3.%2"/>
      <w:lvlJc w:val="left"/>
      <w:pPr>
        <w:tabs>
          <w:tab w:val="left" w:pos="653"/>
        </w:tabs>
        <w:ind w:left="653" w:hanging="709"/>
      </w:pPr>
    </w:lvl>
    <w:lvl w:ilvl="2" w:tentative="0">
      <w:start w:val="1"/>
      <w:numFmt w:val="decimal"/>
      <w:lvlText w:val="%1.%2.%3."/>
      <w:lvlJc w:val="left"/>
      <w:pPr>
        <w:tabs>
          <w:tab w:val="left" w:pos="369"/>
        </w:tabs>
        <w:ind w:left="369" w:hanging="425"/>
      </w:pPr>
    </w:lvl>
    <w:lvl w:ilvl="3" w:tentative="0">
      <w:start w:val="1"/>
      <w:numFmt w:val="decimal"/>
      <w:lvlText w:val="%1.%2.%3.%4."/>
      <w:lvlJc w:val="left"/>
      <w:pPr>
        <w:tabs>
          <w:tab w:val="left" w:pos="795"/>
        </w:tabs>
        <w:ind w:left="795" w:hanging="851"/>
      </w:pPr>
    </w:lvl>
    <w:lvl w:ilvl="4" w:tentative="0">
      <w:start w:val="1"/>
      <w:numFmt w:val="decimal"/>
      <w:lvlText w:val="%1.%2.%3.%4.%5."/>
      <w:lvlJc w:val="left"/>
      <w:pPr>
        <w:tabs>
          <w:tab w:val="left" w:pos="936"/>
        </w:tabs>
        <w:ind w:left="936" w:hanging="992"/>
      </w:pPr>
    </w:lvl>
    <w:lvl w:ilvl="5" w:tentative="0">
      <w:start w:val="1"/>
      <w:numFmt w:val="decimal"/>
      <w:lvlText w:val="%1.%2.%3.%4.%5.%6."/>
      <w:lvlJc w:val="left"/>
      <w:pPr>
        <w:tabs>
          <w:tab w:val="left" w:pos="1078"/>
        </w:tabs>
        <w:ind w:left="1078" w:hanging="1134"/>
      </w:pPr>
    </w:lvl>
    <w:lvl w:ilvl="6" w:tentative="0">
      <w:start w:val="1"/>
      <w:numFmt w:val="decimal"/>
      <w:lvlText w:val="%1.%2.%3.%4.%5.%6.%7."/>
      <w:lvlJc w:val="left"/>
      <w:pPr>
        <w:tabs>
          <w:tab w:val="left" w:pos="1220"/>
        </w:tabs>
        <w:ind w:left="1220" w:hanging="1276"/>
      </w:pPr>
    </w:lvl>
    <w:lvl w:ilvl="7" w:tentative="0">
      <w:start w:val="1"/>
      <w:numFmt w:val="decimal"/>
      <w:lvlText w:val="%1.%2.%3.%4.%5.%6.%7.%8."/>
      <w:lvlJc w:val="left"/>
      <w:pPr>
        <w:tabs>
          <w:tab w:val="left" w:pos="1362"/>
        </w:tabs>
        <w:ind w:left="1362" w:hanging="1418"/>
      </w:pPr>
    </w:lvl>
    <w:lvl w:ilvl="8" w:tentative="0">
      <w:start w:val="1"/>
      <w:numFmt w:val="decimal"/>
      <w:lvlText w:val="%1.%2.%3.%4.%5.%6.%7.%8.%9."/>
      <w:lvlJc w:val="left"/>
      <w:pPr>
        <w:tabs>
          <w:tab w:val="left" w:pos="1503"/>
        </w:tabs>
        <w:ind w:left="1503"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mNjYxYTBjM2RmMTA0NTJmZmNkZDdiZmI2ODA2MTAifQ=="/>
  </w:docVars>
  <w:rsids>
    <w:rsidRoot w:val="00ED5016"/>
    <w:rsid w:val="000D2640"/>
    <w:rsid w:val="000D56EC"/>
    <w:rsid w:val="000E358D"/>
    <w:rsid w:val="00104011"/>
    <w:rsid w:val="00134449"/>
    <w:rsid w:val="0013448B"/>
    <w:rsid w:val="00174F76"/>
    <w:rsid w:val="00272739"/>
    <w:rsid w:val="00284744"/>
    <w:rsid w:val="002B0DBB"/>
    <w:rsid w:val="002C0695"/>
    <w:rsid w:val="002D203E"/>
    <w:rsid w:val="003139E5"/>
    <w:rsid w:val="003F7B94"/>
    <w:rsid w:val="00400B04"/>
    <w:rsid w:val="004245E7"/>
    <w:rsid w:val="004F3835"/>
    <w:rsid w:val="00574480"/>
    <w:rsid w:val="00582EB4"/>
    <w:rsid w:val="005B0802"/>
    <w:rsid w:val="005E5E1D"/>
    <w:rsid w:val="00655ADD"/>
    <w:rsid w:val="006D28A8"/>
    <w:rsid w:val="007706B7"/>
    <w:rsid w:val="00774FA8"/>
    <w:rsid w:val="00787065"/>
    <w:rsid w:val="007B26EB"/>
    <w:rsid w:val="008C5BEF"/>
    <w:rsid w:val="008C639E"/>
    <w:rsid w:val="008D53CA"/>
    <w:rsid w:val="00971FD3"/>
    <w:rsid w:val="00A473A6"/>
    <w:rsid w:val="00AA0C74"/>
    <w:rsid w:val="00AD50B1"/>
    <w:rsid w:val="00AE203A"/>
    <w:rsid w:val="00AE746F"/>
    <w:rsid w:val="00B43EA1"/>
    <w:rsid w:val="00B569FD"/>
    <w:rsid w:val="00C13AEE"/>
    <w:rsid w:val="00C25C50"/>
    <w:rsid w:val="00C827B4"/>
    <w:rsid w:val="00CA3C75"/>
    <w:rsid w:val="00CE664D"/>
    <w:rsid w:val="00D12B94"/>
    <w:rsid w:val="00D87C24"/>
    <w:rsid w:val="00E62B5A"/>
    <w:rsid w:val="00E93193"/>
    <w:rsid w:val="00ED5016"/>
    <w:rsid w:val="00EE61BC"/>
    <w:rsid w:val="00F73ACD"/>
    <w:rsid w:val="07B701E6"/>
    <w:rsid w:val="096A0140"/>
    <w:rsid w:val="0D043331"/>
    <w:rsid w:val="0E784EDF"/>
    <w:rsid w:val="12B345A1"/>
    <w:rsid w:val="2122226C"/>
    <w:rsid w:val="246D4BA0"/>
    <w:rsid w:val="2D4C1E62"/>
    <w:rsid w:val="2EF15945"/>
    <w:rsid w:val="310A294A"/>
    <w:rsid w:val="360F22E1"/>
    <w:rsid w:val="389668D0"/>
    <w:rsid w:val="3A2A3A0F"/>
    <w:rsid w:val="41FD3472"/>
    <w:rsid w:val="4ED26BD6"/>
    <w:rsid w:val="549E2395"/>
    <w:rsid w:val="574E6B03"/>
    <w:rsid w:val="574F4EB7"/>
    <w:rsid w:val="59697465"/>
    <w:rsid w:val="5E3A5B9D"/>
    <w:rsid w:val="5FEA4C61"/>
    <w:rsid w:val="62C212EE"/>
    <w:rsid w:val="6ACA3A8C"/>
    <w:rsid w:val="6ED07197"/>
    <w:rsid w:val="748E68F1"/>
    <w:rsid w:val="77021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6"/>
    <w:qFormat/>
    <w:uiPriority w:val="0"/>
    <w:pPr>
      <w:keepNext/>
      <w:keepLines/>
      <w:spacing w:before="260" w:after="260" w:line="413" w:lineRule="auto"/>
      <w:outlineLvl w:val="2"/>
    </w:pPr>
    <w:rPr>
      <w:rFonts w:ascii="Times New Roman" w:hAnsi="Times New Roman" w:eastAsia="宋体" w:cs="Times New Roman"/>
      <w:b/>
      <w:sz w:val="32"/>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1"/>
    <w:pPr>
      <w:autoSpaceDE w:val="0"/>
      <w:autoSpaceDN w:val="0"/>
      <w:spacing w:before="181"/>
      <w:ind w:left="112"/>
      <w:jc w:val="left"/>
    </w:pPr>
    <w:rPr>
      <w:rFonts w:ascii="微软雅黑" w:hAnsi="微软雅黑" w:eastAsia="微软雅黑" w:cs="微软雅黑"/>
      <w:kern w:val="0"/>
      <w:sz w:val="24"/>
      <w:szCs w:val="24"/>
      <w:lang w:val="zh-CN" w:bidi="zh-CN"/>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21"/>
    <w:semiHidden/>
    <w:unhideWhenUsed/>
    <w:qFormat/>
    <w:uiPriority w:val="99"/>
    <w:pPr>
      <w:spacing w:after="120" w:line="480" w:lineRule="auto"/>
    </w:p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paragraph" w:styleId="15">
    <w:name w:val="List Paragraph"/>
    <w:basedOn w:val="1"/>
    <w:link w:val="23"/>
    <w:qFormat/>
    <w:uiPriority w:val="0"/>
    <w:pPr>
      <w:ind w:firstLine="420" w:firstLineChars="200"/>
    </w:pPr>
  </w:style>
  <w:style w:type="character" w:customStyle="1" w:styleId="16">
    <w:name w:val="标题 3 字符"/>
    <w:basedOn w:val="11"/>
    <w:link w:val="3"/>
    <w:qFormat/>
    <w:uiPriority w:val="0"/>
    <w:rPr>
      <w:rFonts w:ascii="Times New Roman" w:hAnsi="Times New Roman" w:eastAsia="宋体" w:cs="Times New Roman"/>
      <w:b/>
      <w:sz w:val="32"/>
      <w:szCs w:val="24"/>
    </w:rPr>
  </w:style>
  <w:style w:type="character" w:customStyle="1" w:styleId="17">
    <w:name w:val="正文文本 字符"/>
    <w:basedOn w:val="11"/>
    <w:link w:val="4"/>
    <w:qFormat/>
    <w:uiPriority w:val="1"/>
    <w:rPr>
      <w:rFonts w:ascii="微软雅黑" w:hAnsi="微软雅黑" w:eastAsia="微软雅黑" w:cs="微软雅黑"/>
      <w:kern w:val="0"/>
      <w:sz w:val="24"/>
      <w:szCs w:val="24"/>
      <w:lang w:val="zh-CN" w:bidi="zh-CN"/>
    </w:rPr>
  </w:style>
  <w:style w:type="paragraph" w:customStyle="1" w:styleId="18">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eastAsia="宋体" w:cs="Times New Roman"/>
      <w:b/>
      <w:bCs/>
      <w:color w:val="000000"/>
      <w:kern w:val="0"/>
      <w:szCs w:val="20"/>
    </w:rPr>
  </w:style>
  <w:style w:type="paragraph" w:customStyle="1" w:styleId="19">
    <w:name w:val="样式 标题 2 + 宋体 五号 行距: 单倍行距"/>
    <w:basedOn w:val="2"/>
    <w:qFormat/>
    <w:uiPriority w:val="0"/>
    <w:pPr>
      <w:adjustRightInd w:val="0"/>
      <w:spacing w:line="240" w:lineRule="auto"/>
      <w:jc w:val="left"/>
    </w:pPr>
    <w:rPr>
      <w:rFonts w:ascii="宋体" w:hAnsi="宋体" w:eastAsia="宋体" w:cs="Times New Roman"/>
      <w:kern w:val="0"/>
      <w:sz w:val="21"/>
      <w:szCs w:val="20"/>
    </w:rPr>
  </w:style>
  <w:style w:type="character" w:customStyle="1" w:styleId="20">
    <w:name w:val="标题 2 字符"/>
    <w:basedOn w:val="11"/>
    <w:link w:val="2"/>
    <w:semiHidden/>
    <w:qFormat/>
    <w:uiPriority w:val="9"/>
    <w:rPr>
      <w:rFonts w:asciiTheme="majorHAnsi" w:hAnsiTheme="majorHAnsi" w:eastAsiaTheme="majorEastAsia" w:cstheme="majorBidi"/>
      <w:b/>
      <w:bCs/>
      <w:sz w:val="32"/>
      <w:szCs w:val="32"/>
    </w:rPr>
  </w:style>
  <w:style w:type="character" w:customStyle="1" w:styleId="21">
    <w:name w:val="正文文本 2 字符"/>
    <w:basedOn w:val="11"/>
    <w:link w:val="7"/>
    <w:semiHidden/>
    <w:qFormat/>
    <w:uiPriority w:val="99"/>
  </w:style>
  <w:style w:type="paragraph" w:customStyle="1" w:styleId="22">
    <w:name w:val="Default"/>
    <w:qFormat/>
    <w:uiPriority w:val="0"/>
    <w:pPr>
      <w:widowControl w:val="0"/>
      <w:autoSpaceDE w:val="0"/>
      <w:autoSpaceDN w:val="0"/>
      <w:adjustRightInd w:val="0"/>
    </w:pPr>
    <w:rPr>
      <w:rFonts w:ascii="Calibri" w:hAnsi="Calibri" w:eastAsia="宋体" w:cs="Calibri"/>
      <w:color w:val="000000"/>
      <w:kern w:val="0"/>
      <w:sz w:val="24"/>
      <w:szCs w:val="24"/>
      <w:lang w:val="en-US" w:eastAsia="zh-CN" w:bidi="ar-SA"/>
    </w:rPr>
  </w:style>
  <w:style w:type="character" w:customStyle="1" w:styleId="23">
    <w:name w:val="列出段落 字符"/>
    <w:link w:val="15"/>
    <w:qFormat/>
    <w:uiPriority w:val="0"/>
  </w:style>
  <w:style w:type="paragraph" w:customStyle="1" w:styleId="24">
    <w:name w:val="样式1"/>
    <w:basedOn w:val="1"/>
    <w:qFormat/>
    <w:uiPriority w:val="0"/>
    <w:pPr>
      <w:numPr>
        <w:ilvl w:val="0"/>
        <w:numId w:val="1"/>
      </w:numPr>
      <w:tabs>
        <w:tab w:val="left" w:pos="709"/>
      </w:tabs>
      <w:adjustRightInd w:val="0"/>
    </w:pPr>
    <w:rPr>
      <w:rFonts w:ascii="宋体" w:hAnsi="宋体"/>
      <w:kern w:val="0"/>
      <w:szCs w:val="21"/>
    </w:rPr>
  </w:style>
  <w:style w:type="character" w:customStyle="1" w:styleId="25">
    <w:name w:val="font51"/>
    <w:basedOn w:val="11"/>
    <w:uiPriority w:val="0"/>
    <w:rPr>
      <w:rFonts w:hint="eastAsia" w:ascii="黑体" w:hAnsi="宋体" w:eastAsia="黑体" w:cs="黑体"/>
      <w:b/>
      <w:bCs/>
      <w:color w:val="000000"/>
      <w:sz w:val="21"/>
      <w:szCs w:val="21"/>
      <w:u w:val="none"/>
    </w:rPr>
  </w:style>
  <w:style w:type="character" w:customStyle="1" w:styleId="26">
    <w:name w:val="font112"/>
    <w:basedOn w:val="11"/>
    <w:uiPriority w:val="0"/>
    <w:rPr>
      <w:rFonts w:hint="eastAsia" w:ascii="宋体" w:hAnsi="宋体" w:eastAsia="宋体" w:cs="宋体"/>
      <w:b/>
      <w:bCs/>
      <w:color w:val="000000"/>
      <w:sz w:val="21"/>
      <w:szCs w:val="21"/>
      <w:u w:val="none"/>
    </w:rPr>
  </w:style>
  <w:style w:type="character" w:customStyle="1" w:styleId="27">
    <w:name w:val="font91"/>
    <w:basedOn w:val="11"/>
    <w:uiPriority w:val="0"/>
    <w:rPr>
      <w:rFonts w:hint="eastAsia" w:ascii="宋体" w:hAnsi="宋体" w:eastAsia="宋体" w:cs="宋体"/>
      <w:color w:val="000000"/>
      <w:sz w:val="21"/>
      <w:szCs w:val="21"/>
      <w:u w:val="none"/>
    </w:rPr>
  </w:style>
  <w:style w:type="character" w:customStyle="1" w:styleId="28">
    <w:name w:val="font81"/>
    <w:basedOn w:val="11"/>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3066</Words>
  <Characters>3146</Characters>
  <Lines>15</Lines>
  <Paragraphs>4</Paragraphs>
  <TotalTime>1</TotalTime>
  <ScaleCrop>false</ScaleCrop>
  <LinksUpToDate>false</LinksUpToDate>
  <CharactersWithSpaces>3297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2022-10-25T02:35:00Z</dcterms:created>
  <dc:creator>freeuser</dc:creator>
  <cp:lastModifiedBy>卡哇伊球儿</cp:lastModifiedBy>
  <dcterms:modified xsi:type="dcterms:W3CDTF">2023-05-31T08:09:01Z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43BF4710F9B14E41B943FC238E31A731</vt:lpwstr>
  </property>
</Properties>
</file>