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87192">
      <w:pPr>
        <w:jc w:val="center"/>
        <w:rPr>
          <w:b/>
          <w:spacing w:val="320"/>
          <w:sz w:val="36"/>
          <w:szCs w:val="36"/>
          <w:highlight w:val="none"/>
        </w:rPr>
      </w:pPr>
      <w:r>
        <w:rPr>
          <w:rFonts w:hint="eastAsia"/>
          <w:b/>
          <w:spacing w:val="320"/>
          <w:sz w:val="36"/>
          <w:szCs w:val="36"/>
          <w:highlight w:val="none"/>
        </w:rPr>
        <w:t>分散采购询价单</w:t>
      </w:r>
    </w:p>
    <w:p w14:paraId="0379D691">
      <w:pPr>
        <w:jc w:val="center"/>
        <w:rPr>
          <w:b/>
          <w:szCs w:val="21"/>
          <w:highlight w:val="none"/>
        </w:rPr>
      </w:pPr>
      <w:r>
        <w:rPr>
          <w:rFonts w:hint="eastAsia"/>
          <w:b/>
          <w:szCs w:val="21"/>
          <w:highlight w:val="none"/>
        </w:rPr>
        <w:t xml:space="preserve">                                           </w:t>
      </w:r>
    </w:p>
    <w:p w14:paraId="74293B22">
      <w:pPr>
        <w:spacing w:line="360" w:lineRule="exact"/>
        <w:jc w:val="left"/>
        <w:rPr>
          <w:rFonts w:hint="eastAsia" w:cs="华文楷体" w:asciiTheme="minorEastAsia" w:hAnsiTheme="minorEastAsia"/>
          <w:bCs/>
          <w:sz w:val="24"/>
          <w:highlight w:val="none"/>
        </w:rPr>
      </w:pPr>
    </w:p>
    <w:p w14:paraId="6CCE8BF9">
      <w:pPr>
        <w:spacing w:line="360" w:lineRule="exact"/>
        <w:jc w:val="left"/>
        <w:rPr>
          <w:rFonts w:hint="eastAsia" w:ascii="宋体" w:hAnsi="宋体"/>
          <w:b/>
          <w:kern w:val="0"/>
          <w:sz w:val="24"/>
          <w:highlight w:val="none"/>
        </w:rPr>
      </w:pPr>
      <w:r>
        <w:rPr>
          <w:rFonts w:hint="eastAsia" w:cs="华文楷体" w:asciiTheme="minorEastAsia" w:hAnsiTheme="minorEastAsia"/>
          <w:b/>
          <w:sz w:val="24"/>
          <w:highlight w:val="none"/>
        </w:rPr>
        <w:t>说明：</w:t>
      </w:r>
    </w:p>
    <w:p w14:paraId="4ADCBCC7">
      <w:pPr>
        <w:pStyle w:val="32"/>
        <w:numPr>
          <w:ilvl w:val="0"/>
          <w:numId w:val="0"/>
        </w:numPr>
        <w:rPr>
          <w:rFonts w:hint="eastAsia"/>
          <w:sz w:val="24"/>
          <w:highlight w:val="none"/>
        </w:rPr>
      </w:pPr>
      <w:r>
        <w:rPr>
          <w:rFonts w:hint="eastAsia"/>
          <w:sz w:val="24"/>
          <w:highlight w:val="none"/>
        </w:rPr>
        <w:t>一、</w:t>
      </w:r>
      <w:r>
        <w:rPr>
          <w:rFonts w:hint="eastAsia"/>
          <w:sz w:val="24"/>
          <w:szCs w:val="24"/>
          <w:highlight w:val="none"/>
        </w:rPr>
        <w:t>报价须包含服务成本、利润、税金和承担的风险等可能发生的一切费用。</w:t>
      </w:r>
    </w:p>
    <w:p w14:paraId="1142F8BC">
      <w:pPr>
        <w:spacing w:line="360" w:lineRule="exact"/>
        <w:jc w:val="left"/>
        <w:rPr>
          <w:sz w:val="24"/>
          <w:highlight w:val="none"/>
        </w:rPr>
      </w:pPr>
      <w:r>
        <w:rPr>
          <w:rFonts w:hint="eastAsia"/>
          <w:sz w:val="24"/>
          <w:highlight w:val="none"/>
        </w:rPr>
        <w:t>二、响应文件</w:t>
      </w:r>
      <w:r>
        <w:rPr>
          <w:rFonts w:hint="eastAsia"/>
          <w:b/>
          <w:sz w:val="24"/>
          <w:highlight w:val="none"/>
        </w:rPr>
        <w:t>一份</w:t>
      </w:r>
      <w:r>
        <w:rPr>
          <w:rFonts w:hint="eastAsia"/>
          <w:b/>
          <w:color w:val="auto"/>
          <w:sz w:val="24"/>
          <w:highlight w:val="none"/>
        </w:rPr>
        <w:t>（公司简介</w:t>
      </w:r>
      <w:r>
        <w:rPr>
          <w:rFonts w:hint="eastAsia"/>
          <w:b/>
          <w:color w:val="auto"/>
          <w:sz w:val="24"/>
          <w:highlight w:val="none"/>
          <w:lang w:eastAsia="zh-CN"/>
        </w:rPr>
        <w:t>、服务方案、相关证明材料、</w:t>
      </w:r>
      <w:r>
        <w:rPr>
          <w:rFonts w:hint="eastAsia"/>
          <w:b/>
          <w:color w:val="auto"/>
          <w:sz w:val="24"/>
          <w:highlight w:val="none"/>
        </w:rPr>
        <w:t>报价表</w:t>
      </w:r>
      <w:r>
        <w:rPr>
          <w:rFonts w:hint="eastAsia"/>
          <w:b/>
          <w:color w:val="auto"/>
          <w:sz w:val="24"/>
          <w:highlight w:val="none"/>
          <w:lang w:val="en-US" w:eastAsia="zh-CN"/>
        </w:rPr>
        <w:t>等</w:t>
      </w:r>
      <w:r>
        <w:rPr>
          <w:rFonts w:hint="eastAsia"/>
          <w:b/>
          <w:color w:val="auto"/>
          <w:sz w:val="24"/>
          <w:highlight w:val="none"/>
        </w:rPr>
        <w:t>）</w:t>
      </w:r>
      <w:r>
        <w:rPr>
          <w:rFonts w:hint="eastAsia"/>
          <w:sz w:val="24"/>
          <w:highlight w:val="none"/>
        </w:rPr>
        <w:t>用印密封后请在</w:t>
      </w:r>
      <w:r>
        <w:rPr>
          <w:rFonts w:hint="eastAsia"/>
          <w:sz w:val="24"/>
          <w:highlight w:val="none"/>
        </w:rPr>
        <w:t>2</w:t>
      </w:r>
      <w:r>
        <w:rPr>
          <w:sz w:val="24"/>
          <w:highlight w:val="none"/>
        </w:rPr>
        <w:t>02</w:t>
      </w:r>
      <w:r>
        <w:rPr>
          <w:rFonts w:hint="eastAsia"/>
          <w:sz w:val="24"/>
          <w:highlight w:val="none"/>
        </w:rPr>
        <w:t>5年</w:t>
      </w:r>
      <w:r>
        <w:rPr>
          <w:rFonts w:hint="eastAsia"/>
          <w:sz w:val="24"/>
          <w:highlight w:val="none"/>
          <w:lang w:val="en-US" w:eastAsia="zh-CN"/>
        </w:rPr>
        <w:t>10</w:t>
      </w:r>
      <w:r>
        <w:rPr>
          <w:rFonts w:hint="eastAsia"/>
          <w:sz w:val="24"/>
          <w:highlight w:val="none"/>
        </w:rPr>
        <w:t>月</w:t>
      </w:r>
      <w:r>
        <w:rPr>
          <w:rFonts w:hint="eastAsia"/>
          <w:sz w:val="24"/>
          <w:highlight w:val="none"/>
          <w:lang w:val="en-US" w:eastAsia="zh-CN"/>
        </w:rPr>
        <w:t>29</w:t>
      </w:r>
      <w:r>
        <w:rPr>
          <w:rFonts w:hint="eastAsia"/>
          <w:sz w:val="24"/>
          <w:highlight w:val="none"/>
        </w:rPr>
        <w:t>日上午1</w:t>
      </w:r>
      <w:r>
        <w:rPr>
          <w:sz w:val="24"/>
          <w:highlight w:val="none"/>
        </w:rPr>
        <w:t>1</w:t>
      </w:r>
      <w:r>
        <w:rPr>
          <w:rFonts w:hint="eastAsia"/>
          <w:sz w:val="24"/>
          <w:highlight w:val="none"/>
        </w:rPr>
        <w:t>点前送到江苏省</w:t>
      </w:r>
      <w:r>
        <w:rPr>
          <w:sz w:val="24"/>
          <w:highlight w:val="none"/>
        </w:rPr>
        <w:t>徐州市铜山</w:t>
      </w:r>
      <w:r>
        <w:rPr>
          <w:rFonts w:hint="eastAsia"/>
          <w:sz w:val="24"/>
          <w:highlight w:val="none"/>
        </w:rPr>
        <w:t>新区</w:t>
      </w:r>
      <w:r>
        <w:rPr>
          <w:sz w:val="24"/>
          <w:highlight w:val="none"/>
        </w:rPr>
        <w:t>上海路</w:t>
      </w:r>
      <w:r>
        <w:rPr>
          <w:rFonts w:hint="eastAsia"/>
          <w:sz w:val="24"/>
          <w:highlight w:val="none"/>
        </w:rPr>
        <w:t>101号</w:t>
      </w:r>
      <w:r>
        <w:rPr>
          <w:rFonts w:hint="eastAsia"/>
          <w:sz w:val="24"/>
          <w:highlight w:val="none"/>
          <w:lang w:val="en-US" w:eastAsia="zh-CN"/>
        </w:rPr>
        <w:t>教务</w:t>
      </w:r>
      <w:r>
        <w:rPr>
          <w:sz w:val="24"/>
          <w:highlight w:val="none"/>
        </w:rPr>
        <w:t>处</w:t>
      </w:r>
      <w:r>
        <w:rPr>
          <w:rFonts w:hint="eastAsia"/>
          <w:sz w:val="24"/>
          <w:highlight w:val="none"/>
          <w:lang w:val="en-US" w:eastAsia="zh-CN"/>
        </w:rPr>
        <w:t>203</w:t>
      </w:r>
      <w:r>
        <w:rPr>
          <w:rFonts w:hint="eastAsia"/>
          <w:sz w:val="24"/>
          <w:highlight w:val="none"/>
        </w:rPr>
        <w:t>室；联系人及联系电话：</w:t>
      </w:r>
      <w:r>
        <w:rPr>
          <w:rFonts w:hint="eastAsia"/>
          <w:sz w:val="24"/>
          <w:highlight w:val="none"/>
          <w:lang w:val="en-US" w:eastAsia="zh-CN"/>
        </w:rPr>
        <w:t>张志华</w:t>
      </w:r>
      <w:r>
        <w:rPr>
          <w:rFonts w:hint="eastAsia"/>
          <w:sz w:val="24"/>
          <w:highlight w:val="none"/>
        </w:rPr>
        <w:t>老师</w:t>
      </w:r>
      <w:r>
        <w:rPr>
          <w:sz w:val="24"/>
          <w:highlight w:val="none"/>
        </w:rPr>
        <w:t>，</w:t>
      </w:r>
      <w:r>
        <w:rPr>
          <w:rFonts w:hint="eastAsia"/>
          <w:sz w:val="24"/>
          <w:highlight w:val="none"/>
        </w:rPr>
        <w:t>0516-83656159。</w:t>
      </w:r>
    </w:p>
    <w:p w14:paraId="122BC8B3">
      <w:pPr>
        <w:spacing w:line="360" w:lineRule="exact"/>
        <w:jc w:val="left"/>
        <w:rPr>
          <w:sz w:val="24"/>
          <w:highlight w:val="none"/>
        </w:rPr>
      </w:pPr>
      <w:r>
        <w:rPr>
          <w:rFonts w:hint="eastAsia" w:cs="华文楷体" w:asciiTheme="minorEastAsia" w:hAnsiTheme="minorEastAsia"/>
          <w:bCs/>
          <w:sz w:val="24"/>
          <w:highlight w:val="none"/>
        </w:rPr>
        <w:t>三、本次预算不高于</w:t>
      </w:r>
      <w:r>
        <w:rPr>
          <w:rFonts w:hint="eastAsia" w:cs="华文楷体" w:asciiTheme="minorEastAsia" w:hAnsiTheme="minorEastAsia"/>
          <w:bCs/>
          <w:sz w:val="24"/>
          <w:highlight w:val="none"/>
          <w:lang w:val="en-US" w:eastAsia="zh-CN"/>
        </w:rPr>
        <w:t>9.7</w:t>
      </w:r>
      <w:r>
        <w:rPr>
          <w:rFonts w:hint="eastAsia" w:cs="华文楷体" w:asciiTheme="minorEastAsia" w:hAnsiTheme="minorEastAsia"/>
          <w:bCs/>
          <w:sz w:val="24"/>
          <w:highlight w:val="none"/>
        </w:rPr>
        <w:t>万元，</w:t>
      </w:r>
      <w:r>
        <w:rPr>
          <w:rFonts w:hint="eastAsia"/>
          <w:sz w:val="24"/>
          <w:highlight w:val="none"/>
        </w:rPr>
        <w:t>服务期1年。</w:t>
      </w:r>
      <w:bookmarkStart w:id="5" w:name="_GoBack"/>
      <w:bookmarkEnd w:id="5"/>
    </w:p>
    <w:p w14:paraId="34BF25E3">
      <w:pPr>
        <w:spacing w:line="360" w:lineRule="exact"/>
        <w:jc w:val="left"/>
        <w:rPr>
          <w:rFonts w:hint="eastAsia" w:cs="华文楷体" w:asciiTheme="minorEastAsia" w:hAnsiTheme="minorEastAsia"/>
          <w:bCs/>
          <w:sz w:val="24"/>
          <w:highlight w:val="none"/>
        </w:rPr>
      </w:pPr>
    </w:p>
    <w:p w14:paraId="241D4B69">
      <w:pPr>
        <w:spacing w:line="360" w:lineRule="exact"/>
        <w:jc w:val="left"/>
        <w:rPr>
          <w:rFonts w:hint="eastAsia" w:cs="华文楷体" w:asciiTheme="minorEastAsia" w:hAnsiTheme="minorEastAsia"/>
          <w:b/>
          <w:sz w:val="24"/>
          <w:highlight w:val="none"/>
        </w:rPr>
      </w:pPr>
      <w:r>
        <w:rPr>
          <w:rFonts w:hint="eastAsia" w:cs="华文楷体" w:asciiTheme="minorEastAsia" w:hAnsiTheme="minorEastAsia"/>
          <w:b/>
          <w:sz w:val="24"/>
          <w:highlight w:val="none"/>
        </w:rPr>
        <w:t>需求：</w:t>
      </w:r>
    </w:p>
    <w:p w14:paraId="0AC4ABC5">
      <w:pPr>
        <w:spacing w:line="276" w:lineRule="auto"/>
        <w:jc w:val="left"/>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一、名称：</w:t>
      </w:r>
    </w:p>
    <w:p w14:paraId="12E2BBBC">
      <w:pPr>
        <w:pStyle w:val="23"/>
        <w:spacing w:line="276" w:lineRule="auto"/>
        <w:ind w:left="480" w:firstLine="0"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高等教育质量常态监测软件平台</w:t>
      </w:r>
    </w:p>
    <w:p w14:paraId="2B3C4CCA">
      <w:pPr>
        <w:spacing w:line="276" w:lineRule="auto"/>
        <w:jc w:val="left"/>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二、</w:t>
      </w:r>
      <w:r>
        <w:rPr>
          <w:rFonts w:ascii="宋体" w:hAnsi="宋体" w:cs="宋体"/>
          <w:b/>
          <w:bCs/>
          <w:color w:val="000000"/>
          <w:kern w:val="0"/>
          <w:sz w:val="24"/>
          <w:highlight w:val="none"/>
        </w:rPr>
        <w:t>项目简介</w:t>
      </w:r>
      <w:r>
        <w:rPr>
          <w:rFonts w:hint="eastAsia" w:ascii="宋体" w:hAnsi="宋体" w:cs="宋体"/>
          <w:b/>
          <w:bCs/>
          <w:color w:val="000000"/>
          <w:kern w:val="0"/>
          <w:sz w:val="24"/>
          <w:highlight w:val="none"/>
        </w:rPr>
        <w:t>：</w:t>
      </w:r>
    </w:p>
    <w:p w14:paraId="1F48E4CE">
      <w:pPr>
        <w:spacing w:line="276" w:lineRule="auto"/>
        <w:ind w:firstLine="480" w:firstLineChars="200"/>
        <w:jc w:val="left"/>
        <w:rPr>
          <w:rFonts w:hint="eastAsia" w:ascii="宋体" w:hAnsi="宋体" w:cs="宋体"/>
          <w:color w:val="000000"/>
          <w:kern w:val="0"/>
          <w:sz w:val="24"/>
          <w:highlight w:val="none"/>
        </w:rPr>
      </w:pPr>
      <w:r>
        <w:rPr>
          <w:rFonts w:hint="eastAsia" w:ascii="宋体" w:hAnsi="宋体" w:cs="宋体"/>
          <w:kern w:val="0"/>
          <w:sz w:val="24"/>
          <w:highlight w:val="none"/>
        </w:rPr>
        <w:t>2024年教育部开始实行高校数据节点推送数据的方式开展年度数据采集工作，基于教学基本状态数据进行常态化采集、常态化监测将成为日后高校日常工作的重要环节。文件提及要求业务数据在实现互联互通、共享共用的基础上，完成数据处理、链接计算、智能分析，最终形成监测“画像”。本项目旨在通过高等教育质量常态监测软件平台建设，</w:t>
      </w:r>
      <w:r>
        <w:rPr>
          <w:rFonts w:hint="eastAsia" w:ascii="宋体" w:hAnsi="宋体" w:cs="宋体"/>
          <w:color w:val="000000"/>
          <w:kern w:val="0"/>
          <w:sz w:val="24"/>
          <w:highlight w:val="none"/>
        </w:rPr>
        <w:t xml:space="preserve">帮助我校通过校内系统预先开展状态数据的采集和分析，减轻填报工作负担，减少数据错误，提升数据质量，提高数据利用价值。包含状态数据采集、状态数据分析、状态数据报告、状态数据查询、异常数据排查、国家教育大数据中心数据网络高校节点上报服务等功能。 </w:t>
      </w:r>
    </w:p>
    <w:p w14:paraId="6F3EB030">
      <w:pPr>
        <w:spacing w:line="276"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lang w:val="en-US" w:eastAsia="zh-CN"/>
        </w:rPr>
        <w:t>三</w:t>
      </w:r>
      <w:r>
        <w:rPr>
          <w:rFonts w:hint="eastAsia" w:ascii="宋体" w:hAnsi="宋体" w:cs="宋体"/>
          <w:b/>
          <w:bCs/>
          <w:color w:val="000000"/>
          <w:kern w:val="0"/>
          <w:sz w:val="24"/>
          <w:szCs w:val="24"/>
          <w:highlight w:val="none"/>
        </w:rPr>
        <w:t>、技术要求：</w:t>
      </w:r>
    </w:p>
    <w:p w14:paraId="4A945F74">
      <w:pPr>
        <w:adjustRightInd w:val="0"/>
        <w:snapToGrid w:val="0"/>
        <w:spacing w:line="276" w:lineRule="auto"/>
        <w:ind w:firstLine="482" w:firstLineChars="200"/>
        <w:rPr>
          <w:rFonts w:hint="eastAsia" w:ascii="宋体" w:hAnsi="宋体" w:cs="宋体"/>
          <w:b/>
          <w:bCs/>
          <w:color w:val="000000"/>
          <w:kern w:val="0"/>
          <w:sz w:val="24"/>
          <w:highlight w:val="none"/>
        </w:rPr>
      </w:pPr>
      <w:bookmarkStart w:id="0" w:name="_Toc191052891"/>
      <w:r>
        <w:rPr>
          <w:rFonts w:hint="eastAsia" w:ascii="宋体" w:hAnsi="宋体" w:cs="宋体"/>
          <w:b/>
          <w:bCs/>
          <w:color w:val="000000"/>
          <w:kern w:val="0"/>
          <w:sz w:val="24"/>
          <w:highlight w:val="none"/>
        </w:rPr>
        <w:t>1.状态数据采集</w:t>
      </w:r>
      <w:bookmarkEnd w:id="0"/>
    </w:p>
    <w:p w14:paraId="391EAEDF">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1）状态数据需包含2016年至今各年版本《高等教育质量监测国家数据平台数据表格》，表格、字段、校验规则等内容应和国家数据平台保持一致，且能够根据国家平台变化而及时升级更新。</w:t>
      </w:r>
    </w:p>
    <w:p w14:paraId="692770A9">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2）状态数据采集可通过附表下发面向各个学院收集数据，支持复制上一年份数据，学院负责人只能查看到本学院数据，并对本学院数据进行增、删、完善、更新操作，无需重新填报数据，表单负责人可以查看各个二级学院的附表填报进度条以及填报状态，包括：“已完成”，或“未提交”，已提交的学院可以查看该学院的提交时间，并可以查看及导出各学院提交的数据明细结果。</w:t>
      </w:r>
    </w:p>
    <w:p w14:paraId="2919E075">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3）系统支持所有表单同时开展填报操作，无需前置表单完成后才可以解锁后置表单填报，前置表单未完成状态下，后置表单可先进行表内校验，待前置表单完成后，再进行表间关联校验。</w:t>
      </w:r>
    </w:p>
    <w:p w14:paraId="60C4B2E8">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4）状态数据采集过程中，如需退表修改数据，系统支持选择性退回关联表单，不强制退回所有关联表，多张子表填报情况下，可选择具体的子表进行退回，不强制退回所有子表，被退回的表单重新提交后，后台自动校验数据准确性。</w:t>
      </w:r>
    </w:p>
    <w:p w14:paraId="75105647">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5）填报过程中可实时监控填报进度，可按照填报人、填报状态或表单名称进行筛选查看并同步呈现前置表单完成状态，支持一键生成各主表、子表填报进度表格。</w:t>
      </w:r>
    </w:p>
    <w:p w14:paraId="0ECAE67F">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6）为配合国家三级专业认证工作，支持灵活设置本校专业类开设情况，开放相关类专业后，系统自动显示相关专业类表格。</w:t>
      </w:r>
    </w:p>
    <w:p w14:paraId="18F93DA0">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7）管理员可自主添加数据采集任务，灵活定义任务名称、填报年份、学年、统计截止时间、填报起止时间、教学质量年度报告填报截止时间，其中教学质量年度报告支持独立设置。</w:t>
      </w:r>
    </w:p>
    <w:p w14:paraId="2CBDF267">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8）数据采集任务进度可在线实时观测，可细化至每个负责人的填报进度情况。</w:t>
      </w:r>
    </w:p>
    <w:p w14:paraId="0E0913A4">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9）为提高数据采集质量，使用人员在点击填报提示时，展示该表单与其它表单或者字段之间的校验关系。</w:t>
      </w:r>
    </w:p>
    <w:p w14:paraId="0D43333A">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10）鼠标悬浮采集表格内的字段时，系统能够提示该字段的数据填报要求。 </w:t>
      </w:r>
    </w:p>
    <w:p w14:paraId="6610F7D5">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11）数据填报过程中，自动记录异常数据，并在全校数据完成填报后，通过对比近两年核心指标和呈现所有异常数据进行数据质量检测。</w:t>
      </w:r>
    </w:p>
    <w:p w14:paraId="34009653">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12）数据填报过程中，基于当前已完成的部分表单，可以实时分析查看审核评估/合格评估核心指标，每个核心指标，需支持结合目前填报进度实时更新，并可下钻查看每个指标算法说明，注明详细的计算逻辑；以及各学院、各专业口径下明细数据，展示各指标近三年结果对比情况。</w:t>
      </w:r>
    </w:p>
    <w:p w14:paraId="1593AFDE">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13）系统内置采集常见问题库，分为全局类和单表类，全局类记录了整个数据采集过程中通常会遇到的一些问题和答案，单表类记录了每张表单在数据填报过程中可能遇到的问题和答案，同时需支持结合学校自身情况自定义选择表单新增问题及答案。</w:t>
      </w:r>
    </w:p>
    <w:p w14:paraId="5DCE9696">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14）所有采集表单分为固定表单和浮动表单两类，对于固定表单填报时可以直接复制去年填报数据再进行修改；对于浮动表单可以快捷导出去年填报数据修改后再导入系统中，同时，填报表单如果需要引用其他表单数据，系统支持快速导出其他表被引用数据。</w:t>
      </w:r>
    </w:p>
    <w:p w14:paraId="5973E882">
      <w:pPr>
        <w:adjustRightInd w:val="0"/>
        <w:snapToGrid w:val="0"/>
        <w:spacing w:line="276" w:lineRule="auto"/>
        <w:ind w:firstLine="482" w:firstLineChars="200"/>
        <w:rPr>
          <w:rFonts w:hint="eastAsia" w:ascii="宋体" w:hAnsi="宋体" w:cs="宋体"/>
          <w:b/>
          <w:bCs/>
          <w:color w:val="000000"/>
          <w:kern w:val="0"/>
          <w:sz w:val="24"/>
          <w:highlight w:val="none"/>
        </w:rPr>
      </w:pPr>
      <w:bookmarkStart w:id="1" w:name="_Toc191052892"/>
      <w:r>
        <w:rPr>
          <w:rFonts w:hint="eastAsia" w:ascii="宋体" w:hAnsi="宋体" w:cs="宋体"/>
          <w:b/>
          <w:bCs/>
          <w:color w:val="000000"/>
          <w:kern w:val="0"/>
          <w:sz w:val="24"/>
          <w:highlight w:val="none"/>
        </w:rPr>
        <w:t>2.状态数据分析</w:t>
      </w:r>
      <w:bookmarkEnd w:id="1"/>
    </w:p>
    <w:p w14:paraId="4EABB245">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1）状态数据分析包含全校整体情况、各教学单位情况、专业情况、数据查询、分析拓展等功能。</w:t>
      </w:r>
    </w:p>
    <w:p w14:paraId="2BE2E240">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2）全校整体情况包含核心数据、师资情况、学科专业、教学过程、教学资源及使用情况、学生情况等板块，并可对板块中指标进行数据钻取和导出，获取最细颗粒度数据，如点击生师比，不仅可以了解折合师资以及折合学生，同时可看到师资的组成以及学生的组成的详细数据以及按照系数计算后的折算数据。</w:t>
      </w:r>
    </w:p>
    <w:p w14:paraId="3A0E7B48">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3）各教学单位情况包含教师及本科生、专业带头人、实验技术人员、教育教学研究与改革、教学过程、学生情况等板块，支持对板块中指标进行数据钻取和导出。</w:t>
      </w:r>
    </w:p>
    <w:p w14:paraId="589C3E50">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4）专业情况包含各专业基本情况、师资情况、课程体系、支持条件、学生情况。支持对每项分析维度进行数据钻取和各专业情况对比。</w:t>
      </w:r>
    </w:p>
    <w:p w14:paraId="7D0F7600">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5）专业情况中可展示任意专业的专业画像，专业画像从教职工、教学成果奖、开课情况等8个方面详细展示该专业信息，点击图标能够下钻查看数据详情。</w:t>
      </w:r>
    </w:p>
    <w:p w14:paraId="552ED044">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6）数据查询导出中基本查询可以直接筛选表单数据，自定义筛选条件，查找相应数据并能够导出，如可以直接筛选2019年度教职工表中的专业技术职称为“教授”且最高学位为“博士”的人员名单；高级数据查询支持查询每年度的教学单位及专业情况，如教学单位中实验技术人员、辅导员信息，专业情况中专业师资结构、专业授课信息。</w:t>
      </w:r>
    </w:p>
    <w:p w14:paraId="7FF89AB0">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7）趋势分析功能可基于采集数据，查看学校各年度的基本条件趋势分析、专业课程趋势分析、师资相关趋势分析，并支持展现详细数据。</w:t>
      </w:r>
    </w:p>
    <w:p w14:paraId="7F5357E8">
      <w:pPr>
        <w:adjustRightInd w:val="0"/>
        <w:snapToGrid w:val="0"/>
        <w:spacing w:line="276" w:lineRule="auto"/>
        <w:ind w:firstLine="482" w:firstLineChars="200"/>
        <w:rPr>
          <w:rFonts w:hint="eastAsia" w:ascii="宋体" w:hAnsi="宋体" w:cs="宋体"/>
          <w:b/>
          <w:bCs/>
          <w:color w:val="000000"/>
          <w:kern w:val="0"/>
          <w:sz w:val="24"/>
          <w:highlight w:val="none"/>
        </w:rPr>
      </w:pPr>
      <w:bookmarkStart w:id="2" w:name="_Toc191052893"/>
      <w:r>
        <w:rPr>
          <w:rFonts w:hint="eastAsia" w:ascii="宋体" w:hAnsi="宋体" w:cs="宋体"/>
          <w:b/>
          <w:bCs/>
          <w:color w:val="000000"/>
          <w:kern w:val="0"/>
          <w:sz w:val="24"/>
          <w:highlight w:val="none"/>
        </w:rPr>
        <w:t>3.状态数据报告</w:t>
      </w:r>
      <w:bookmarkEnd w:id="2"/>
    </w:p>
    <w:p w14:paraId="3B6056CB">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1）数据报告中的数据源要求全部来源于状态数据，支持以WORD文档方式导出任意报告。</w:t>
      </w:r>
    </w:p>
    <w:p w14:paraId="79EE78CB">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2）数据报告包含审核评估数据分析报告、合格评估数据分析报告、专业教学状态数据分析报告、学院本科教学状态数据分析报告、本科教学质量报告、状态数据监测报告、状态数据质量检查报告。</w:t>
      </w:r>
    </w:p>
    <w:p w14:paraId="4C9CF5C9">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3）审核评估/合格评估支持在线预览和报告下载，报告内容根据数据填报进度实时更新。</w:t>
      </w:r>
    </w:p>
    <w:p w14:paraId="3C8E0B8B">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4）审核评估/合格评估报告在线预览模式下，可对每一个核心指标进行下钻查看，展示指标算法详情、指标明细数据、学院指标情况和专业指标情况。</w:t>
      </w:r>
    </w:p>
    <w:p w14:paraId="305DA013">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5）为确保学校数据填报质量过关，系统应支持经验校验功能，需内置不少于100条经验校验规则，针对不少于30张表单开展数据质量检测，通过质量检查报告方式导出，报告检测结果中应分为“通过”，“错误”，“预警”三类，并展示参与检测的每张表单的检测结果，严把数据质量关。</w:t>
      </w:r>
    </w:p>
    <w:p w14:paraId="12D2C4CF">
      <w:pPr>
        <w:adjustRightInd w:val="0"/>
        <w:snapToGrid w:val="0"/>
        <w:spacing w:line="276" w:lineRule="auto"/>
        <w:ind w:firstLine="482" w:firstLineChars="200"/>
        <w:rPr>
          <w:rFonts w:hint="eastAsia" w:ascii="宋体" w:hAnsi="宋体" w:cs="宋体"/>
          <w:b/>
          <w:bCs/>
          <w:color w:val="000000"/>
          <w:kern w:val="0"/>
          <w:sz w:val="24"/>
          <w:highlight w:val="none"/>
        </w:rPr>
      </w:pPr>
      <w:bookmarkStart w:id="3" w:name="_Toc191052894"/>
      <w:r>
        <w:rPr>
          <w:rFonts w:hint="eastAsia" w:ascii="宋体" w:hAnsi="宋体" w:cs="宋体"/>
          <w:b/>
          <w:bCs/>
          <w:color w:val="000000"/>
          <w:kern w:val="0"/>
          <w:sz w:val="24"/>
          <w:highlight w:val="none"/>
        </w:rPr>
        <w:t>4.状态数据查询</w:t>
      </w:r>
      <w:bookmarkEnd w:id="3"/>
    </w:p>
    <w:p w14:paraId="3AD4ECC0">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1）状态数据查询支持查询条件的创建，查询方式包括单表查询、多表查询、脚本查询。</w:t>
      </w:r>
    </w:p>
    <w:p w14:paraId="158B5A65">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2）查询条件支持自建，字段运算支持≥、＞、＝、＜、≤、like等多种运算符。</w:t>
      </w:r>
    </w:p>
    <w:p w14:paraId="1E178399">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3）多种查询条件支持并联运算，运算方式支持AND、OR形式。</w:t>
      </w:r>
    </w:p>
    <w:p w14:paraId="07205330">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4）查询结果支持保存功能方便用户再查询，并可在线显示和表格导出。</w:t>
      </w:r>
    </w:p>
    <w:p w14:paraId="7E23FA4D">
      <w:pPr>
        <w:adjustRightInd w:val="0"/>
        <w:snapToGrid w:val="0"/>
        <w:spacing w:line="276" w:lineRule="auto"/>
        <w:ind w:firstLine="482" w:firstLineChars="200"/>
        <w:rPr>
          <w:rFonts w:hint="eastAsia" w:ascii="宋体" w:hAnsi="宋体" w:cs="宋体"/>
          <w:b/>
          <w:bCs/>
          <w:color w:val="000000"/>
          <w:kern w:val="0"/>
          <w:sz w:val="24"/>
          <w:highlight w:val="none"/>
        </w:rPr>
      </w:pPr>
      <w:bookmarkStart w:id="4" w:name="_Toc191052895"/>
      <w:r>
        <w:rPr>
          <w:rFonts w:hint="eastAsia" w:ascii="宋体" w:hAnsi="宋体" w:cs="宋体"/>
          <w:b/>
          <w:bCs/>
          <w:color w:val="000000"/>
          <w:kern w:val="0"/>
          <w:sz w:val="24"/>
          <w:highlight w:val="none"/>
        </w:rPr>
        <w:t>5.异常数据排查</w:t>
      </w:r>
      <w:bookmarkEnd w:id="4"/>
    </w:p>
    <w:p w14:paraId="45466012">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1）异常数据排查支持数据核查任务的创建，执行类型包含异常校验、详情数据对比。</w:t>
      </w:r>
    </w:p>
    <w:p w14:paraId="37E0755F">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2）支持数据排查规则库的管理，规则库中能够创建和保存任意数量的数据校验规则，通过运行异常校验和数据详情对比，即可快捷查询状态数据中的异常数据并给出数据异常详情。</w:t>
      </w:r>
    </w:p>
    <w:p w14:paraId="39038764">
      <w:pPr>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3）支持在规则管理库中自定义添加数据排查规则，包括排查规则的适用年份、关联表单、规则内容、规则提示等。</w:t>
      </w:r>
    </w:p>
    <w:p w14:paraId="642A3D56">
      <w:pPr>
        <w:spacing w:line="276"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lang w:val="en-US" w:eastAsia="zh-CN"/>
        </w:rPr>
        <w:t>四</w:t>
      </w:r>
      <w:r>
        <w:rPr>
          <w:rFonts w:hint="eastAsia" w:ascii="宋体" w:hAnsi="宋体" w:cs="宋体"/>
          <w:b/>
          <w:bCs/>
          <w:kern w:val="0"/>
          <w:sz w:val="24"/>
          <w:szCs w:val="24"/>
          <w:highlight w:val="none"/>
        </w:rPr>
        <w:t>、供应商要求：</w:t>
      </w:r>
    </w:p>
    <w:p w14:paraId="11380103">
      <w:pPr>
        <w:spacing w:line="276"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1.供应商应具备《中华人民共和国政府采购法》第二十二条规定的条件:</w:t>
      </w:r>
    </w:p>
    <w:p w14:paraId="2C8B90AE">
      <w:pPr>
        <w:spacing w:line="276"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(1)具有独立承担民事责任的能力;</w:t>
      </w:r>
    </w:p>
    <w:p w14:paraId="6A98C7C6">
      <w:pPr>
        <w:spacing w:line="276"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(2)具有良好的商业信誉和健全的财务会计制度;</w:t>
      </w:r>
    </w:p>
    <w:p w14:paraId="44642BC0">
      <w:pPr>
        <w:spacing w:line="276"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(3)具有履行合同所必需的设备和专业技术能力;</w:t>
      </w:r>
    </w:p>
    <w:p w14:paraId="013A2CB8">
      <w:pPr>
        <w:spacing w:line="276"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(4)有依法缴纳税收和社会保障资金的良好记录;</w:t>
      </w:r>
    </w:p>
    <w:p w14:paraId="2FD24997">
      <w:pPr>
        <w:spacing w:line="276"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(5)参加政府采购活动前三年内，在经营活动中没有重大违法记录;</w:t>
      </w:r>
    </w:p>
    <w:p w14:paraId="315DE8EB">
      <w:pPr>
        <w:spacing w:line="276"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(6)法律、行政法规规定的其他条件。</w:t>
      </w:r>
    </w:p>
    <w:p w14:paraId="5FCE6BB9">
      <w:pPr>
        <w:spacing w:line="276"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2.供应商存在下列情形的，不得同时参加同一合同项下的政府采购项目</w:t>
      </w:r>
    </w:p>
    <w:p w14:paraId="72A91CC7">
      <w:pPr>
        <w:spacing w:line="276"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(1)不同供应商负责人为同一人或者存在直接控股、管理关系的不同供应商的;</w:t>
      </w:r>
    </w:p>
    <w:p w14:paraId="5A69B476">
      <w:pPr>
        <w:spacing w:line="276"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(2)为采购项目提供整体设计、规范编制、监理或者项目管理、检测等服务的。 </w:t>
      </w:r>
    </w:p>
    <w:p w14:paraId="2FF2E739">
      <w:pPr>
        <w:spacing w:line="276" w:lineRule="auto"/>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为保障数据采集分析结果在校内评估评价工作中的有效应用，供应商须具备信息化系统建设与业务咨询的综合服务能力。营业范围应包含信息技术咨询服务和软件开发，以确保能为学校提供平台建设、系统维护、数据分析及业务咨询等专业支持，促进校内评估评价工作的常态化、规范化开展。</w:t>
      </w:r>
    </w:p>
    <w:p w14:paraId="16D43AC4">
      <w:pPr>
        <w:spacing w:line="276"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lang w:val="en-US" w:eastAsia="zh-CN"/>
        </w:rPr>
        <w:t>五</w:t>
      </w:r>
      <w:r>
        <w:rPr>
          <w:rFonts w:hint="eastAsia" w:ascii="宋体" w:hAnsi="宋体" w:cs="宋体"/>
          <w:b/>
          <w:bCs/>
          <w:kern w:val="0"/>
          <w:sz w:val="24"/>
          <w:szCs w:val="24"/>
          <w:highlight w:val="none"/>
        </w:rPr>
        <w:t>、其他事项</w:t>
      </w:r>
    </w:p>
    <w:p w14:paraId="556CA8A2">
      <w:pPr>
        <w:spacing w:line="276"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 xml:space="preserve">1.如在截止时间参与供应商不足三家，则重新发布采购公告，另行确定询价时间。 </w:t>
      </w:r>
    </w:p>
    <w:p w14:paraId="6532A183">
      <w:pPr>
        <w:spacing w:line="276"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2. 成交供应商需在收到成交公告后3个日历天内对所投产品所有功能进行逐项演示，如发现所投产品存在虚假应标等情况，采购人有权取消成交供应商成交资格，并追究其法律责任。</w:t>
      </w:r>
    </w:p>
    <w:p w14:paraId="4EE0134D">
      <w:pPr>
        <w:adjustRightInd w:val="0"/>
        <w:snapToGrid w:val="0"/>
        <w:spacing w:line="276" w:lineRule="auto"/>
        <w:ind w:firstLine="480" w:firstLineChars="200"/>
        <w:rPr>
          <w:rFonts w:hint="eastAsia" w:ascii="宋体" w:hAnsi="宋体" w:cs="宋体"/>
          <w:kern w:val="0"/>
          <w:sz w:val="24"/>
          <w:szCs w:val="24"/>
          <w:highlight w:val="none"/>
          <w:lang w:val="zh-CN"/>
        </w:rPr>
      </w:pPr>
    </w:p>
    <w:p w14:paraId="2B468DC9">
      <w:pPr>
        <w:adjustRightInd w:val="0"/>
        <w:snapToGrid w:val="0"/>
        <w:spacing w:line="276" w:lineRule="auto"/>
        <w:rPr>
          <w:rFonts w:hint="default" w:cs="华文楷体" w:asciiTheme="minorEastAsia" w:hAnsiTheme="minorEastAsia" w:eastAsiaTheme="minorEastAsia"/>
          <w:b/>
          <w:sz w:val="24"/>
          <w:highlight w:val="none"/>
          <w:lang w:val="en-US" w:eastAsia="zh-CN"/>
        </w:rPr>
      </w:pPr>
      <w:r>
        <w:rPr>
          <w:rFonts w:hint="eastAsia" w:cs="华文楷体" w:asciiTheme="minorEastAsia" w:hAnsiTheme="minorEastAsia"/>
          <w:b/>
          <w:sz w:val="24"/>
          <w:highlight w:val="none"/>
          <w:lang w:val="en-US" w:eastAsia="zh-CN"/>
        </w:rPr>
        <w:t>注：</w:t>
      </w:r>
      <w:r>
        <w:rPr>
          <w:rFonts w:hint="eastAsia"/>
          <w:sz w:val="24"/>
          <w:highlight w:val="none"/>
        </w:rPr>
        <w:t>响应文件</w:t>
      </w:r>
      <w:r>
        <w:rPr>
          <w:rFonts w:hint="eastAsia"/>
          <w:sz w:val="24"/>
          <w:highlight w:val="none"/>
          <w:lang w:val="en-US" w:eastAsia="zh-CN"/>
        </w:rPr>
        <w:t>应包含但不限于以下材料。</w:t>
      </w:r>
    </w:p>
    <w:p w14:paraId="5D09C8AD">
      <w:pPr>
        <w:adjustRightInd w:val="0"/>
        <w:snapToGrid w:val="0"/>
        <w:spacing w:line="276" w:lineRule="auto"/>
        <w:rPr>
          <w:rFonts w:hint="eastAsia" w:cs="华文楷体" w:asciiTheme="minorEastAsia" w:hAnsiTheme="minorEastAsia"/>
          <w:b w:val="0"/>
          <w:bCs/>
          <w:sz w:val="24"/>
          <w:highlight w:val="none"/>
          <w:lang w:val="en-US" w:eastAsia="zh-CN"/>
        </w:rPr>
      </w:pPr>
      <w:r>
        <w:rPr>
          <w:rFonts w:hint="eastAsia" w:cs="华文楷体" w:asciiTheme="minorEastAsia" w:hAnsiTheme="minorEastAsia"/>
          <w:b w:val="0"/>
          <w:bCs/>
          <w:sz w:val="24"/>
          <w:highlight w:val="none"/>
          <w:lang w:val="en-US" w:eastAsia="zh-CN"/>
        </w:rPr>
        <w:t>1.公司简介：包括公司背景、业务范围、相关资质等。</w:t>
      </w:r>
    </w:p>
    <w:p w14:paraId="0E7A15AE">
      <w:pPr>
        <w:adjustRightInd w:val="0"/>
        <w:snapToGrid w:val="0"/>
        <w:spacing w:line="276" w:lineRule="auto"/>
        <w:rPr>
          <w:rFonts w:hint="eastAsia" w:cs="华文楷体" w:asciiTheme="minorEastAsia" w:hAnsiTheme="minorEastAsia"/>
          <w:b w:val="0"/>
          <w:bCs/>
          <w:sz w:val="24"/>
          <w:highlight w:val="none"/>
          <w:lang w:val="en-US" w:eastAsia="zh-CN"/>
        </w:rPr>
      </w:pPr>
      <w:r>
        <w:rPr>
          <w:rFonts w:hint="eastAsia" w:cs="华文楷体" w:asciiTheme="minorEastAsia" w:hAnsiTheme="minorEastAsia"/>
          <w:b w:val="0"/>
          <w:bCs/>
          <w:sz w:val="24"/>
          <w:highlight w:val="none"/>
          <w:lang w:val="en-US" w:eastAsia="zh-CN"/>
        </w:rPr>
        <w:t>2.服务方案：平台解决方案详细说明、项目实施与部署方案、培训方案、运维服务与技术支持等。</w:t>
      </w:r>
    </w:p>
    <w:p w14:paraId="35FC68CC">
      <w:pPr>
        <w:adjustRightInd w:val="0"/>
        <w:snapToGrid w:val="0"/>
        <w:spacing w:line="276" w:lineRule="auto"/>
        <w:rPr>
          <w:rFonts w:hint="eastAsia" w:cs="华文楷体" w:asciiTheme="minorEastAsia" w:hAnsiTheme="minorEastAsia"/>
          <w:b w:val="0"/>
          <w:bCs/>
          <w:sz w:val="24"/>
          <w:highlight w:val="none"/>
          <w:lang w:val="en-US" w:eastAsia="zh-CN"/>
        </w:rPr>
      </w:pPr>
      <w:r>
        <w:rPr>
          <w:rFonts w:hint="eastAsia" w:cs="华文楷体" w:asciiTheme="minorEastAsia" w:hAnsiTheme="minorEastAsia"/>
          <w:b w:val="0"/>
          <w:bCs/>
          <w:sz w:val="24"/>
          <w:highlight w:val="none"/>
          <w:lang w:val="en-US" w:eastAsia="zh-CN"/>
        </w:rPr>
        <w:t>3.报价表：按照上述采购要求填写的详细报价信息，包括平台价格构成明细等。</w:t>
      </w:r>
    </w:p>
    <w:p w14:paraId="4A7FD429">
      <w:pPr>
        <w:adjustRightInd w:val="0"/>
        <w:snapToGrid w:val="0"/>
        <w:spacing w:line="276" w:lineRule="auto"/>
        <w:rPr>
          <w:rFonts w:hint="eastAsia" w:cs="华文楷体" w:asciiTheme="minorEastAsia" w:hAnsiTheme="minorEastAsia" w:eastAsiaTheme="minorEastAsia"/>
          <w:b w:val="0"/>
          <w:bCs/>
          <w:sz w:val="24"/>
          <w:highlight w:val="none"/>
          <w:lang w:val="en-US" w:eastAsia="zh-CN"/>
        </w:rPr>
      </w:pPr>
      <w:r>
        <w:rPr>
          <w:rFonts w:hint="eastAsia" w:cs="华文楷体" w:asciiTheme="minorEastAsia" w:hAnsiTheme="minorEastAsia"/>
          <w:b w:val="0"/>
          <w:bCs/>
          <w:sz w:val="24"/>
          <w:highlight w:val="none"/>
          <w:lang w:val="en-US" w:eastAsia="zh-CN"/>
        </w:rPr>
        <w:t>4.相关证明材料：如团队核心成员资质证书、类似项目案例介绍等。</w:t>
      </w:r>
    </w:p>
    <w:p w14:paraId="05515E99">
      <w:pPr>
        <w:adjustRightInd w:val="0"/>
        <w:snapToGrid w:val="0"/>
        <w:spacing w:line="276" w:lineRule="auto"/>
        <w:rPr>
          <w:rFonts w:hint="eastAsia" w:cs="华文楷体" w:asciiTheme="minorEastAsia" w:hAnsiTheme="minorEastAsia"/>
          <w:b/>
          <w:sz w:val="24"/>
          <w:highlight w:val="none"/>
        </w:rPr>
      </w:pPr>
      <w:r>
        <w:rPr>
          <w:rFonts w:hint="eastAsia" w:cs="华文楷体" w:asciiTheme="minorEastAsia" w:hAnsiTheme="minorEastAsia"/>
          <w:b/>
          <w:sz w:val="24"/>
          <w:highlight w:val="none"/>
        </w:rPr>
        <w:t>附报价表</w:t>
      </w:r>
    </w:p>
    <w:tbl>
      <w:tblPr>
        <w:tblStyle w:val="17"/>
        <w:tblW w:w="10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1701"/>
        <w:gridCol w:w="1417"/>
        <w:gridCol w:w="851"/>
        <w:gridCol w:w="992"/>
        <w:gridCol w:w="851"/>
        <w:gridCol w:w="1134"/>
        <w:gridCol w:w="1429"/>
      </w:tblGrid>
      <w:tr w14:paraId="7B71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46" w:type="dxa"/>
          </w:tcPr>
          <w:p w14:paraId="397178FF">
            <w:pPr>
              <w:jc w:val="center"/>
              <w:rPr>
                <w:b/>
                <w:sz w:val="28"/>
                <w:szCs w:val="28"/>
                <w:highlight w:val="none"/>
              </w:rPr>
            </w:pPr>
            <w:r>
              <w:rPr>
                <w:rFonts w:hint="eastAsia"/>
                <w:b/>
                <w:sz w:val="28"/>
                <w:szCs w:val="28"/>
                <w:highlight w:val="none"/>
              </w:rPr>
              <w:t>序号</w:t>
            </w:r>
          </w:p>
        </w:tc>
        <w:tc>
          <w:tcPr>
            <w:tcW w:w="1134" w:type="dxa"/>
          </w:tcPr>
          <w:p w14:paraId="513B9DD6">
            <w:pPr>
              <w:jc w:val="center"/>
              <w:rPr>
                <w:b/>
                <w:sz w:val="28"/>
                <w:szCs w:val="28"/>
                <w:highlight w:val="none"/>
              </w:rPr>
            </w:pPr>
            <w:r>
              <w:rPr>
                <w:rFonts w:hint="eastAsia"/>
                <w:b/>
                <w:sz w:val="28"/>
                <w:szCs w:val="28"/>
                <w:highlight w:val="none"/>
              </w:rPr>
              <w:t>名称</w:t>
            </w:r>
          </w:p>
        </w:tc>
        <w:tc>
          <w:tcPr>
            <w:tcW w:w="1701" w:type="dxa"/>
          </w:tcPr>
          <w:p w14:paraId="7722F45A">
            <w:pPr>
              <w:jc w:val="center"/>
              <w:rPr>
                <w:b/>
                <w:sz w:val="28"/>
                <w:szCs w:val="28"/>
                <w:highlight w:val="none"/>
              </w:rPr>
            </w:pPr>
            <w:r>
              <w:rPr>
                <w:rFonts w:hint="eastAsia"/>
                <w:b/>
                <w:sz w:val="28"/>
                <w:szCs w:val="28"/>
                <w:highlight w:val="none"/>
              </w:rPr>
              <w:t>制造商名称</w:t>
            </w:r>
          </w:p>
        </w:tc>
        <w:tc>
          <w:tcPr>
            <w:tcW w:w="1417" w:type="dxa"/>
          </w:tcPr>
          <w:p w14:paraId="13052A31">
            <w:pPr>
              <w:jc w:val="center"/>
              <w:rPr>
                <w:b/>
                <w:sz w:val="28"/>
                <w:szCs w:val="28"/>
                <w:highlight w:val="none"/>
              </w:rPr>
            </w:pPr>
            <w:r>
              <w:rPr>
                <w:rFonts w:hint="eastAsia"/>
                <w:b/>
                <w:sz w:val="28"/>
                <w:szCs w:val="28"/>
                <w:highlight w:val="none"/>
              </w:rPr>
              <w:t>规格型号</w:t>
            </w:r>
          </w:p>
        </w:tc>
        <w:tc>
          <w:tcPr>
            <w:tcW w:w="851" w:type="dxa"/>
          </w:tcPr>
          <w:p w14:paraId="48305944">
            <w:pPr>
              <w:jc w:val="center"/>
              <w:rPr>
                <w:b/>
                <w:sz w:val="28"/>
                <w:szCs w:val="28"/>
                <w:highlight w:val="none"/>
              </w:rPr>
            </w:pPr>
            <w:r>
              <w:rPr>
                <w:rFonts w:hint="eastAsia"/>
                <w:b/>
                <w:sz w:val="28"/>
                <w:szCs w:val="28"/>
                <w:highlight w:val="none"/>
              </w:rPr>
              <w:t>数量</w:t>
            </w:r>
          </w:p>
        </w:tc>
        <w:tc>
          <w:tcPr>
            <w:tcW w:w="992" w:type="dxa"/>
          </w:tcPr>
          <w:p w14:paraId="01DD59C7">
            <w:pPr>
              <w:widowControl/>
              <w:jc w:val="center"/>
              <w:rPr>
                <w:b/>
                <w:sz w:val="28"/>
                <w:szCs w:val="28"/>
                <w:highlight w:val="none"/>
              </w:rPr>
            </w:pPr>
            <w:r>
              <w:rPr>
                <w:rFonts w:hint="eastAsia"/>
                <w:b/>
                <w:sz w:val="28"/>
                <w:szCs w:val="28"/>
                <w:highlight w:val="none"/>
              </w:rPr>
              <w:t>单价</w:t>
            </w:r>
          </w:p>
        </w:tc>
        <w:tc>
          <w:tcPr>
            <w:tcW w:w="851" w:type="dxa"/>
          </w:tcPr>
          <w:p w14:paraId="23C9D321">
            <w:pPr>
              <w:widowControl/>
              <w:jc w:val="center"/>
              <w:rPr>
                <w:b/>
                <w:sz w:val="28"/>
                <w:szCs w:val="28"/>
                <w:highlight w:val="none"/>
              </w:rPr>
            </w:pPr>
            <w:r>
              <w:rPr>
                <w:rFonts w:hint="eastAsia"/>
                <w:b/>
                <w:sz w:val="28"/>
                <w:szCs w:val="28"/>
                <w:highlight w:val="none"/>
              </w:rPr>
              <w:t>总价</w:t>
            </w:r>
          </w:p>
        </w:tc>
        <w:tc>
          <w:tcPr>
            <w:tcW w:w="1134" w:type="dxa"/>
          </w:tcPr>
          <w:p w14:paraId="10B5566F">
            <w:pPr>
              <w:jc w:val="center"/>
              <w:rPr>
                <w:b/>
                <w:sz w:val="28"/>
                <w:szCs w:val="28"/>
                <w:highlight w:val="none"/>
              </w:rPr>
            </w:pPr>
            <w:r>
              <w:rPr>
                <w:rFonts w:hint="eastAsia"/>
                <w:b/>
                <w:sz w:val="28"/>
                <w:szCs w:val="28"/>
                <w:highlight w:val="none"/>
              </w:rPr>
              <w:t>保修期</w:t>
            </w:r>
          </w:p>
        </w:tc>
        <w:tc>
          <w:tcPr>
            <w:tcW w:w="1429" w:type="dxa"/>
          </w:tcPr>
          <w:p w14:paraId="17C1A8B5">
            <w:pPr>
              <w:widowControl/>
              <w:jc w:val="center"/>
              <w:rPr>
                <w:b/>
                <w:sz w:val="28"/>
                <w:szCs w:val="28"/>
                <w:highlight w:val="none"/>
              </w:rPr>
            </w:pPr>
            <w:r>
              <w:rPr>
                <w:rFonts w:hint="eastAsia"/>
                <w:b/>
                <w:sz w:val="28"/>
                <w:szCs w:val="28"/>
                <w:highlight w:val="none"/>
              </w:rPr>
              <w:t>交货时间</w:t>
            </w:r>
          </w:p>
        </w:tc>
      </w:tr>
      <w:tr w14:paraId="5B36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846" w:type="dxa"/>
          </w:tcPr>
          <w:p w14:paraId="5CA05953">
            <w:pPr>
              <w:jc w:val="center"/>
              <w:rPr>
                <w:sz w:val="28"/>
                <w:szCs w:val="28"/>
                <w:highlight w:val="none"/>
              </w:rPr>
            </w:pPr>
          </w:p>
        </w:tc>
        <w:tc>
          <w:tcPr>
            <w:tcW w:w="1134" w:type="dxa"/>
            <w:vAlign w:val="center"/>
          </w:tcPr>
          <w:p w14:paraId="0E8FAF2E">
            <w:pPr>
              <w:jc w:val="center"/>
              <w:rPr>
                <w:b/>
                <w:highlight w:val="none"/>
              </w:rPr>
            </w:pPr>
          </w:p>
        </w:tc>
        <w:tc>
          <w:tcPr>
            <w:tcW w:w="1701" w:type="dxa"/>
            <w:vAlign w:val="center"/>
          </w:tcPr>
          <w:p w14:paraId="39402C03">
            <w:pPr>
              <w:jc w:val="center"/>
              <w:rPr>
                <w:b/>
                <w:sz w:val="28"/>
                <w:szCs w:val="28"/>
                <w:highlight w:val="none"/>
              </w:rPr>
            </w:pPr>
          </w:p>
        </w:tc>
        <w:tc>
          <w:tcPr>
            <w:tcW w:w="1417" w:type="dxa"/>
            <w:vAlign w:val="center"/>
          </w:tcPr>
          <w:p w14:paraId="6DE540AF">
            <w:pPr>
              <w:jc w:val="center"/>
              <w:rPr>
                <w:b/>
                <w:highlight w:val="none"/>
              </w:rPr>
            </w:pPr>
          </w:p>
        </w:tc>
        <w:tc>
          <w:tcPr>
            <w:tcW w:w="851" w:type="dxa"/>
            <w:vAlign w:val="center"/>
          </w:tcPr>
          <w:p w14:paraId="0EEF725D">
            <w:pPr>
              <w:jc w:val="center"/>
              <w:rPr>
                <w:b/>
                <w:highlight w:val="none"/>
              </w:rPr>
            </w:pPr>
          </w:p>
        </w:tc>
        <w:tc>
          <w:tcPr>
            <w:tcW w:w="992" w:type="dxa"/>
            <w:vAlign w:val="center"/>
          </w:tcPr>
          <w:p w14:paraId="130305C5">
            <w:pPr>
              <w:widowControl/>
              <w:jc w:val="center"/>
              <w:rPr>
                <w:b/>
                <w:highlight w:val="none"/>
              </w:rPr>
            </w:pPr>
          </w:p>
        </w:tc>
        <w:tc>
          <w:tcPr>
            <w:tcW w:w="851" w:type="dxa"/>
            <w:vAlign w:val="center"/>
          </w:tcPr>
          <w:p w14:paraId="760121F1">
            <w:pPr>
              <w:widowControl/>
              <w:jc w:val="center"/>
              <w:rPr>
                <w:b/>
                <w:highlight w:val="none"/>
              </w:rPr>
            </w:pPr>
          </w:p>
        </w:tc>
        <w:tc>
          <w:tcPr>
            <w:tcW w:w="1134" w:type="dxa"/>
            <w:vAlign w:val="center"/>
          </w:tcPr>
          <w:p w14:paraId="2480106A">
            <w:pPr>
              <w:widowControl/>
              <w:jc w:val="center"/>
              <w:rPr>
                <w:b/>
                <w:highlight w:val="none"/>
              </w:rPr>
            </w:pPr>
          </w:p>
        </w:tc>
        <w:tc>
          <w:tcPr>
            <w:tcW w:w="1429" w:type="dxa"/>
            <w:vAlign w:val="center"/>
          </w:tcPr>
          <w:p w14:paraId="600281B5">
            <w:pPr>
              <w:widowControl/>
              <w:jc w:val="center"/>
              <w:rPr>
                <w:b/>
                <w:highlight w:val="none"/>
              </w:rPr>
            </w:pPr>
          </w:p>
        </w:tc>
      </w:tr>
    </w:tbl>
    <w:p w14:paraId="1DA6BD18">
      <w:pPr>
        <w:adjustRightInd w:val="0"/>
        <w:snapToGrid w:val="0"/>
        <w:spacing w:line="276" w:lineRule="auto"/>
        <w:ind w:firstLine="480" w:firstLineChars="200"/>
        <w:rPr>
          <w:rFonts w:hint="eastAsia" w:ascii="宋体" w:hAnsi="宋体" w:cs="宋体"/>
          <w:color w:val="000000"/>
          <w:kern w:val="0"/>
          <w:sz w:val="24"/>
          <w:szCs w:val="24"/>
          <w:highlight w:val="none"/>
          <w:lang w:val="zh-CN"/>
        </w:rPr>
      </w:pPr>
    </w:p>
    <w:p w14:paraId="20B10D53">
      <w:pPr>
        <w:adjustRightInd w:val="0"/>
        <w:snapToGrid w:val="0"/>
        <w:spacing w:line="276" w:lineRule="auto"/>
        <w:ind w:firstLine="480" w:firstLineChars="200"/>
        <w:rPr>
          <w:rFonts w:hint="eastAsia" w:ascii="宋体" w:hAnsi="宋体" w:cs="宋体"/>
          <w:color w:val="000000"/>
          <w:kern w:val="0"/>
          <w:sz w:val="24"/>
          <w:szCs w:val="24"/>
          <w:highlight w:val="none"/>
          <w:lang w:val="zh-CN"/>
        </w:rPr>
      </w:pPr>
    </w:p>
    <w:p w14:paraId="4358E731">
      <w:pPr>
        <w:adjustRightInd w:val="0"/>
        <w:snapToGrid w:val="0"/>
        <w:spacing w:line="276" w:lineRule="auto"/>
        <w:ind w:firstLine="480" w:firstLineChars="200"/>
        <w:rPr>
          <w:rFonts w:hint="eastAsia" w:ascii="宋体" w:hAnsi="宋体" w:cs="宋体"/>
          <w:color w:val="000000"/>
          <w:kern w:val="0"/>
          <w:sz w:val="24"/>
          <w:szCs w:val="24"/>
          <w:highlight w:val="none"/>
          <w:lang w:val="zh-CN"/>
        </w:rPr>
      </w:pPr>
    </w:p>
    <w:p w14:paraId="44AA2BED">
      <w:pPr>
        <w:adjustRightInd w:val="0"/>
        <w:snapToGrid w:val="0"/>
        <w:spacing w:line="276" w:lineRule="auto"/>
        <w:ind w:firstLine="480" w:firstLineChars="200"/>
        <w:rPr>
          <w:rFonts w:hint="eastAsia" w:ascii="宋体" w:hAnsi="宋体" w:cs="宋体"/>
          <w:color w:val="000000"/>
          <w:kern w:val="0"/>
          <w:sz w:val="24"/>
          <w:szCs w:val="24"/>
          <w:highlight w:val="none"/>
          <w:lang w:val="zh-CN"/>
        </w:rPr>
      </w:pPr>
    </w:p>
    <w:p w14:paraId="4F63F6DE">
      <w:pPr>
        <w:adjustRightInd w:val="0"/>
        <w:snapToGrid w:val="0"/>
        <w:spacing w:line="276" w:lineRule="auto"/>
        <w:ind w:firstLine="480" w:firstLineChars="200"/>
        <w:rPr>
          <w:rFonts w:hint="eastAsia" w:ascii="宋体" w:hAnsi="宋体" w:cs="宋体"/>
          <w:color w:val="000000"/>
          <w:kern w:val="0"/>
          <w:sz w:val="24"/>
          <w:szCs w:val="24"/>
          <w:highlight w:val="none"/>
          <w:lang w:val="zh-CN"/>
        </w:rPr>
      </w:pPr>
    </w:p>
    <w:p w14:paraId="49027F56">
      <w:pPr>
        <w:adjustRightInd w:val="0"/>
        <w:snapToGrid w:val="0"/>
        <w:spacing w:line="276" w:lineRule="auto"/>
        <w:ind w:firstLine="480" w:firstLineChars="200"/>
        <w:jc w:val="left"/>
        <w:rPr>
          <w:rFonts w:hint="eastAsia" w:ascii="宋体" w:hAnsi="宋体" w:cs="宋体"/>
          <w:color w:val="000000"/>
          <w:kern w:val="0"/>
          <w:sz w:val="24"/>
          <w:szCs w:val="24"/>
          <w:highlight w:val="none"/>
          <w:lang w:val="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
        </w:sdtPr>
        <w:sdtContent>
          <w:p w14:paraId="33D72F74">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614436A0">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7194"/>
    <w:multiLevelType w:val="multilevel"/>
    <w:tmpl w:val="09DC7194"/>
    <w:lvl w:ilvl="0" w:tentative="0">
      <w:start w:val="1"/>
      <w:numFmt w:val="decimal"/>
      <w:pStyle w:val="32"/>
      <w:lvlText w:val="%1"/>
      <w:lvlJc w:val="left"/>
      <w:pPr>
        <w:tabs>
          <w:tab w:val="left" w:pos="653"/>
        </w:tabs>
        <w:ind w:left="653" w:hanging="709"/>
      </w:pPr>
    </w:lvl>
    <w:lvl w:ilvl="1" w:tentative="0">
      <w:start w:val="4"/>
      <w:numFmt w:val="decimal"/>
      <w:lvlText w:val="3.%2"/>
      <w:lvlJc w:val="left"/>
      <w:pPr>
        <w:tabs>
          <w:tab w:val="left" w:pos="653"/>
        </w:tabs>
        <w:ind w:left="653" w:hanging="709"/>
      </w:pPr>
    </w:lvl>
    <w:lvl w:ilvl="2" w:tentative="0">
      <w:start w:val="1"/>
      <w:numFmt w:val="decimal"/>
      <w:lvlText w:val="%1.%2.%3."/>
      <w:lvlJc w:val="left"/>
      <w:pPr>
        <w:tabs>
          <w:tab w:val="left" w:pos="369"/>
        </w:tabs>
        <w:ind w:left="369" w:hanging="425"/>
      </w:pPr>
    </w:lvl>
    <w:lvl w:ilvl="3" w:tentative="0">
      <w:start w:val="1"/>
      <w:numFmt w:val="decimal"/>
      <w:lvlText w:val="%1.%2.%3.%4."/>
      <w:lvlJc w:val="left"/>
      <w:pPr>
        <w:tabs>
          <w:tab w:val="left" w:pos="795"/>
        </w:tabs>
        <w:ind w:left="795" w:hanging="851"/>
      </w:pPr>
    </w:lvl>
    <w:lvl w:ilvl="4" w:tentative="0">
      <w:start w:val="1"/>
      <w:numFmt w:val="decimal"/>
      <w:lvlText w:val="%1.%2.%3.%4.%5."/>
      <w:lvlJc w:val="left"/>
      <w:pPr>
        <w:tabs>
          <w:tab w:val="left" w:pos="936"/>
        </w:tabs>
        <w:ind w:left="936" w:hanging="992"/>
      </w:pPr>
    </w:lvl>
    <w:lvl w:ilvl="5" w:tentative="0">
      <w:start w:val="1"/>
      <w:numFmt w:val="decimal"/>
      <w:lvlText w:val="%1.%2.%3.%4.%5.%6."/>
      <w:lvlJc w:val="left"/>
      <w:pPr>
        <w:tabs>
          <w:tab w:val="left" w:pos="1078"/>
        </w:tabs>
        <w:ind w:left="1078" w:hanging="1134"/>
      </w:pPr>
    </w:lvl>
    <w:lvl w:ilvl="6" w:tentative="0">
      <w:start w:val="1"/>
      <w:numFmt w:val="decimal"/>
      <w:lvlText w:val="%1.%2.%3.%4.%5.%6.%7."/>
      <w:lvlJc w:val="left"/>
      <w:pPr>
        <w:tabs>
          <w:tab w:val="left" w:pos="1220"/>
        </w:tabs>
        <w:ind w:left="1220" w:hanging="1276"/>
      </w:pPr>
    </w:lvl>
    <w:lvl w:ilvl="7" w:tentative="0">
      <w:start w:val="1"/>
      <w:numFmt w:val="decimal"/>
      <w:lvlText w:val="%1.%2.%3.%4.%5.%6.%7.%8."/>
      <w:lvlJc w:val="left"/>
      <w:pPr>
        <w:tabs>
          <w:tab w:val="left" w:pos="1362"/>
        </w:tabs>
        <w:ind w:left="1362" w:hanging="1418"/>
      </w:pPr>
    </w:lvl>
    <w:lvl w:ilvl="8" w:tentative="0">
      <w:start w:val="1"/>
      <w:numFmt w:val="decimal"/>
      <w:lvlText w:val="%1.%2.%3.%4.%5.%6.%7.%8.%9."/>
      <w:lvlJc w:val="left"/>
      <w:pPr>
        <w:tabs>
          <w:tab w:val="left" w:pos="1503"/>
        </w:tabs>
        <w:ind w:left="1503" w:hanging="1559"/>
      </w:pPr>
    </w:lvl>
  </w:abstractNum>
  <w:abstractNum w:abstractNumId="1">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MmU3OWYyYTY0ZWQ3NjkwOGI3Mzk3MzFjMTZmNDEifQ=="/>
  </w:docVars>
  <w:rsids>
    <w:rsidRoot w:val="00ED5016"/>
    <w:rsid w:val="00040F61"/>
    <w:rsid w:val="000739FA"/>
    <w:rsid w:val="000A3D0B"/>
    <w:rsid w:val="000D2640"/>
    <w:rsid w:val="000D56EC"/>
    <w:rsid w:val="000E358D"/>
    <w:rsid w:val="00104011"/>
    <w:rsid w:val="00123B6C"/>
    <w:rsid w:val="00134449"/>
    <w:rsid w:val="0013448B"/>
    <w:rsid w:val="00156012"/>
    <w:rsid w:val="00174F76"/>
    <w:rsid w:val="00195DF6"/>
    <w:rsid w:val="00197E36"/>
    <w:rsid w:val="001C7C78"/>
    <w:rsid w:val="001D2C68"/>
    <w:rsid w:val="001F3D43"/>
    <w:rsid w:val="00211BA1"/>
    <w:rsid w:val="0022724E"/>
    <w:rsid w:val="00253CE0"/>
    <w:rsid w:val="00272739"/>
    <w:rsid w:val="002734C7"/>
    <w:rsid w:val="00284744"/>
    <w:rsid w:val="0029392C"/>
    <w:rsid w:val="002B0DBB"/>
    <w:rsid w:val="002C0695"/>
    <w:rsid w:val="002D203E"/>
    <w:rsid w:val="002E7B13"/>
    <w:rsid w:val="002F43AB"/>
    <w:rsid w:val="003139E5"/>
    <w:rsid w:val="003547D3"/>
    <w:rsid w:val="003E4400"/>
    <w:rsid w:val="003F7B94"/>
    <w:rsid w:val="00400B04"/>
    <w:rsid w:val="004154F8"/>
    <w:rsid w:val="00421693"/>
    <w:rsid w:val="0042235B"/>
    <w:rsid w:val="004245E7"/>
    <w:rsid w:val="00464409"/>
    <w:rsid w:val="004F3835"/>
    <w:rsid w:val="00500467"/>
    <w:rsid w:val="005122B4"/>
    <w:rsid w:val="00513C8F"/>
    <w:rsid w:val="005620C4"/>
    <w:rsid w:val="0056418C"/>
    <w:rsid w:val="00567A3A"/>
    <w:rsid w:val="00574480"/>
    <w:rsid w:val="00582EB4"/>
    <w:rsid w:val="005A07C5"/>
    <w:rsid w:val="005B0802"/>
    <w:rsid w:val="005D03F9"/>
    <w:rsid w:val="005D32AA"/>
    <w:rsid w:val="005D5BC2"/>
    <w:rsid w:val="005E5E1D"/>
    <w:rsid w:val="00604B43"/>
    <w:rsid w:val="0061093C"/>
    <w:rsid w:val="00616123"/>
    <w:rsid w:val="006472AB"/>
    <w:rsid w:val="00654922"/>
    <w:rsid w:val="00655ADD"/>
    <w:rsid w:val="00674489"/>
    <w:rsid w:val="006A0FAF"/>
    <w:rsid w:val="006A29B9"/>
    <w:rsid w:val="006C026A"/>
    <w:rsid w:val="006C3D9A"/>
    <w:rsid w:val="006D28A8"/>
    <w:rsid w:val="006E6166"/>
    <w:rsid w:val="006E7896"/>
    <w:rsid w:val="007252A1"/>
    <w:rsid w:val="007308A6"/>
    <w:rsid w:val="00733702"/>
    <w:rsid w:val="00761F85"/>
    <w:rsid w:val="007706B7"/>
    <w:rsid w:val="00774EB4"/>
    <w:rsid w:val="00774FA8"/>
    <w:rsid w:val="00785C32"/>
    <w:rsid w:val="00787065"/>
    <w:rsid w:val="007A7E52"/>
    <w:rsid w:val="007B23D2"/>
    <w:rsid w:val="007B26EB"/>
    <w:rsid w:val="007B2773"/>
    <w:rsid w:val="007B59C5"/>
    <w:rsid w:val="007E2983"/>
    <w:rsid w:val="0081487A"/>
    <w:rsid w:val="00835946"/>
    <w:rsid w:val="0083768F"/>
    <w:rsid w:val="00857490"/>
    <w:rsid w:val="008B6A38"/>
    <w:rsid w:val="008C419A"/>
    <w:rsid w:val="008C5BEF"/>
    <w:rsid w:val="008C639E"/>
    <w:rsid w:val="008D53CA"/>
    <w:rsid w:val="00901159"/>
    <w:rsid w:val="009145E6"/>
    <w:rsid w:val="00971FD3"/>
    <w:rsid w:val="009E1D6B"/>
    <w:rsid w:val="009F5787"/>
    <w:rsid w:val="00A1235F"/>
    <w:rsid w:val="00A136CA"/>
    <w:rsid w:val="00A13DD3"/>
    <w:rsid w:val="00A147EE"/>
    <w:rsid w:val="00A473A6"/>
    <w:rsid w:val="00A9134D"/>
    <w:rsid w:val="00A93FF1"/>
    <w:rsid w:val="00A96D84"/>
    <w:rsid w:val="00AA0C74"/>
    <w:rsid w:val="00AC4701"/>
    <w:rsid w:val="00AD50B1"/>
    <w:rsid w:val="00AE203A"/>
    <w:rsid w:val="00AE746F"/>
    <w:rsid w:val="00B141AE"/>
    <w:rsid w:val="00B15D1A"/>
    <w:rsid w:val="00B24270"/>
    <w:rsid w:val="00B41C57"/>
    <w:rsid w:val="00B43EA1"/>
    <w:rsid w:val="00B569FD"/>
    <w:rsid w:val="00B7064A"/>
    <w:rsid w:val="00B81BA7"/>
    <w:rsid w:val="00B93037"/>
    <w:rsid w:val="00BA2FFC"/>
    <w:rsid w:val="00BC7E6F"/>
    <w:rsid w:val="00BE286A"/>
    <w:rsid w:val="00BE4F6C"/>
    <w:rsid w:val="00BF408B"/>
    <w:rsid w:val="00C13AEE"/>
    <w:rsid w:val="00C17CC9"/>
    <w:rsid w:val="00C25C50"/>
    <w:rsid w:val="00C45BD1"/>
    <w:rsid w:val="00C757B4"/>
    <w:rsid w:val="00C827B4"/>
    <w:rsid w:val="00C839BE"/>
    <w:rsid w:val="00CA3C75"/>
    <w:rsid w:val="00CC6C76"/>
    <w:rsid w:val="00CE664D"/>
    <w:rsid w:val="00CF2726"/>
    <w:rsid w:val="00D12B94"/>
    <w:rsid w:val="00D15A6B"/>
    <w:rsid w:val="00D35C72"/>
    <w:rsid w:val="00D5440D"/>
    <w:rsid w:val="00D87C24"/>
    <w:rsid w:val="00DD2E85"/>
    <w:rsid w:val="00DF4F0A"/>
    <w:rsid w:val="00E0198A"/>
    <w:rsid w:val="00E2194E"/>
    <w:rsid w:val="00E26C94"/>
    <w:rsid w:val="00E31EA1"/>
    <w:rsid w:val="00E62B5A"/>
    <w:rsid w:val="00E7148C"/>
    <w:rsid w:val="00E821B7"/>
    <w:rsid w:val="00E90C3A"/>
    <w:rsid w:val="00E93193"/>
    <w:rsid w:val="00E9430B"/>
    <w:rsid w:val="00EA66BD"/>
    <w:rsid w:val="00EB6AB7"/>
    <w:rsid w:val="00ED5016"/>
    <w:rsid w:val="00EE61BC"/>
    <w:rsid w:val="00EE7C09"/>
    <w:rsid w:val="00EF1640"/>
    <w:rsid w:val="00F077A5"/>
    <w:rsid w:val="00F14D17"/>
    <w:rsid w:val="00F21F2B"/>
    <w:rsid w:val="00F31D95"/>
    <w:rsid w:val="00F50883"/>
    <w:rsid w:val="00F73ACD"/>
    <w:rsid w:val="00F94207"/>
    <w:rsid w:val="00FC57A6"/>
    <w:rsid w:val="00FD6CDE"/>
    <w:rsid w:val="00FD70B8"/>
    <w:rsid w:val="00FE0715"/>
    <w:rsid w:val="06A27213"/>
    <w:rsid w:val="06D32EA5"/>
    <w:rsid w:val="07B701E6"/>
    <w:rsid w:val="0D043331"/>
    <w:rsid w:val="0E784EDF"/>
    <w:rsid w:val="11E8713C"/>
    <w:rsid w:val="12A10CC7"/>
    <w:rsid w:val="12B345A1"/>
    <w:rsid w:val="1D9531D6"/>
    <w:rsid w:val="20E26340"/>
    <w:rsid w:val="2122226C"/>
    <w:rsid w:val="22691B98"/>
    <w:rsid w:val="230B6414"/>
    <w:rsid w:val="244D480A"/>
    <w:rsid w:val="246D4BA0"/>
    <w:rsid w:val="254C061E"/>
    <w:rsid w:val="25FA62CC"/>
    <w:rsid w:val="27EC60E8"/>
    <w:rsid w:val="2A9D36CA"/>
    <w:rsid w:val="2B626DED"/>
    <w:rsid w:val="2D4C1E62"/>
    <w:rsid w:val="2EF15945"/>
    <w:rsid w:val="30B76B1C"/>
    <w:rsid w:val="310A294A"/>
    <w:rsid w:val="32BD6FFF"/>
    <w:rsid w:val="360F22E1"/>
    <w:rsid w:val="36FB1EA4"/>
    <w:rsid w:val="389668D0"/>
    <w:rsid w:val="3A2A3A0F"/>
    <w:rsid w:val="3AFB06C4"/>
    <w:rsid w:val="3B20637D"/>
    <w:rsid w:val="413C37E5"/>
    <w:rsid w:val="41FD3472"/>
    <w:rsid w:val="4290203A"/>
    <w:rsid w:val="42C66D34"/>
    <w:rsid w:val="432D7D36"/>
    <w:rsid w:val="44FF6697"/>
    <w:rsid w:val="49AD5280"/>
    <w:rsid w:val="4ED26BD6"/>
    <w:rsid w:val="4F3D70A6"/>
    <w:rsid w:val="549E2395"/>
    <w:rsid w:val="55F67FAE"/>
    <w:rsid w:val="574E6B03"/>
    <w:rsid w:val="574F4EB7"/>
    <w:rsid w:val="593C7AB2"/>
    <w:rsid w:val="59697465"/>
    <w:rsid w:val="5E3A5B9D"/>
    <w:rsid w:val="5FEA4C61"/>
    <w:rsid w:val="62C212EE"/>
    <w:rsid w:val="689A0C6D"/>
    <w:rsid w:val="6ACA3A8C"/>
    <w:rsid w:val="6D8F2D6B"/>
    <w:rsid w:val="6E7837FF"/>
    <w:rsid w:val="6ED07197"/>
    <w:rsid w:val="70D94A36"/>
    <w:rsid w:val="748E68F1"/>
    <w:rsid w:val="770216C6"/>
    <w:rsid w:val="77DF044B"/>
    <w:rsid w:val="7B2C39A7"/>
    <w:rsid w:val="7D4E22FA"/>
    <w:rsid w:val="FB591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4"/>
    <w:qFormat/>
    <w:uiPriority w:val="0"/>
    <w:pPr>
      <w:keepNext/>
      <w:keepLines/>
      <w:spacing w:before="260" w:after="260" w:line="413" w:lineRule="auto"/>
      <w:outlineLvl w:val="2"/>
    </w:pPr>
    <w:rPr>
      <w:rFonts w:ascii="Times New Roman" w:hAnsi="Times New Roman" w:eastAsia="宋体" w:cs="Times New Roman"/>
      <w:b/>
      <w:sz w:val="32"/>
      <w:szCs w:val="24"/>
    </w:rPr>
  </w:style>
  <w:style w:type="paragraph" w:styleId="7">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outlineLvl w:val="4"/>
    </w:pPr>
    <w:rPr>
      <w:rFonts w:eastAsia="黑体"/>
      <w:b/>
      <w:szCs w:val="28"/>
    </w:rPr>
  </w:style>
  <w:style w:type="paragraph" w:customStyle="1" w:styleId="3">
    <w:name w:val="正文（绿盟科技）"/>
    <w:next w:val="2"/>
    <w:qFormat/>
    <w:uiPriority w:val="0"/>
    <w:pPr>
      <w:spacing w:line="300" w:lineRule="auto"/>
    </w:pPr>
    <w:rPr>
      <w:rFonts w:ascii="Times New Roman" w:hAnsi="Times New Roman" w:eastAsia="宋体" w:cs="黑体"/>
      <w:sz w:val="21"/>
      <w:szCs w:val="21"/>
      <w:lang w:val="en-US" w:eastAsia="zh-CN" w:bidi="ar-SA"/>
    </w:rPr>
  </w:style>
  <w:style w:type="paragraph" w:styleId="8">
    <w:name w:val="annotation text"/>
    <w:basedOn w:val="1"/>
    <w:link w:val="34"/>
    <w:semiHidden/>
    <w:unhideWhenUsed/>
    <w:qFormat/>
    <w:uiPriority w:val="99"/>
    <w:pPr>
      <w:jc w:val="left"/>
    </w:pPr>
  </w:style>
  <w:style w:type="paragraph" w:styleId="9">
    <w:name w:val="Body Text"/>
    <w:basedOn w:val="1"/>
    <w:link w:val="25"/>
    <w:qFormat/>
    <w:uiPriority w:val="1"/>
    <w:pPr>
      <w:autoSpaceDE w:val="0"/>
      <w:autoSpaceDN w:val="0"/>
      <w:spacing w:before="181"/>
      <w:ind w:left="112"/>
      <w:jc w:val="left"/>
    </w:pPr>
    <w:rPr>
      <w:rFonts w:ascii="微软雅黑" w:hAnsi="微软雅黑" w:eastAsia="微软雅黑" w:cs="微软雅黑"/>
      <w:kern w:val="0"/>
      <w:sz w:val="24"/>
      <w:szCs w:val="24"/>
      <w:lang w:val="zh-CN" w:bidi="zh-CN"/>
    </w:rPr>
  </w:style>
  <w:style w:type="paragraph" w:styleId="10">
    <w:name w:val="Balloon Text"/>
    <w:basedOn w:val="1"/>
    <w:link w:val="36"/>
    <w:semiHidden/>
    <w:unhideWhenUsed/>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29"/>
    <w:semiHidden/>
    <w:unhideWhenUsed/>
    <w:qFormat/>
    <w:uiPriority w:val="99"/>
    <w:pPr>
      <w:spacing w:after="120" w:line="480" w:lineRule="auto"/>
    </w:pPr>
  </w:style>
  <w:style w:type="paragraph" w:styleId="1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8"/>
    <w:next w:val="8"/>
    <w:link w:val="35"/>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annotation reference"/>
    <w:basedOn w:val="18"/>
    <w:semiHidden/>
    <w:unhideWhenUsed/>
    <w:uiPriority w:val="99"/>
    <w:rPr>
      <w:sz w:val="21"/>
      <w:szCs w:val="21"/>
    </w:rPr>
  </w:style>
  <w:style w:type="character" w:customStyle="1" w:styleId="21">
    <w:name w:val="页眉 字符"/>
    <w:basedOn w:val="18"/>
    <w:link w:val="12"/>
    <w:qFormat/>
    <w:uiPriority w:val="99"/>
    <w:rPr>
      <w:sz w:val="18"/>
      <w:szCs w:val="18"/>
    </w:rPr>
  </w:style>
  <w:style w:type="character" w:customStyle="1" w:styleId="22">
    <w:name w:val="页脚 字符"/>
    <w:basedOn w:val="18"/>
    <w:link w:val="11"/>
    <w:qFormat/>
    <w:uiPriority w:val="99"/>
    <w:rPr>
      <w:sz w:val="18"/>
      <w:szCs w:val="18"/>
    </w:rPr>
  </w:style>
  <w:style w:type="paragraph" w:styleId="23">
    <w:name w:val="List Paragraph"/>
    <w:basedOn w:val="1"/>
    <w:link w:val="31"/>
    <w:qFormat/>
    <w:uiPriority w:val="0"/>
    <w:pPr>
      <w:ind w:firstLine="420" w:firstLineChars="200"/>
    </w:pPr>
  </w:style>
  <w:style w:type="character" w:customStyle="1" w:styleId="24">
    <w:name w:val="标题 3 字符"/>
    <w:basedOn w:val="18"/>
    <w:link w:val="6"/>
    <w:qFormat/>
    <w:uiPriority w:val="0"/>
    <w:rPr>
      <w:rFonts w:ascii="Times New Roman" w:hAnsi="Times New Roman" w:eastAsia="宋体" w:cs="Times New Roman"/>
      <w:b/>
      <w:sz w:val="32"/>
      <w:szCs w:val="24"/>
    </w:rPr>
  </w:style>
  <w:style w:type="character" w:customStyle="1" w:styleId="25">
    <w:name w:val="正文文本 字符"/>
    <w:basedOn w:val="18"/>
    <w:link w:val="9"/>
    <w:qFormat/>
    <w:uiPriority w:val="1"/>
    <w:rPr>
      <w:rFonts w:ascii="微软雅黑" w:hAnsi="微软雅黑" w:eastAsia="微软雅黑" w:cs="微软雅黑"/>
      <w:kern w:val="0"/>
      <w:sz w:val="24"/>
      <w:szCs w:val="24"/>
      <w:lang w:val="zh-CN" w:bidi="zh-CN"/>
    </w:rPr>
  </w:style>
  <w:style w:type="paragraph" w:customStyle="1" w:styleId="26">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eastAsia="宋体" w:cs="Times New Roman"/>
      <w:b/>
      <w:bCs/>
      <w:color w:val="000000"/>
      <w:kern w:val="0"/>
      <w:szCs w:val="20"/>
    </w:rPr>
  </w:style>
  <w:style w:type="paragraph" w:customStyle="1" w:styleId="27">
    <w:name w:val="样式 标题 2 + 宋体 五号 行距: 单倍行距"/>
    <w:basedOn w:val="5"/>
    <w:qFormat/>
    <w:uiPriority w:val="0"/>
    <w:pPr>
      <w:adjustRightInd w:val="0"/>
      <w:spacing w:line="240" w:lineRule="auto"/>
      <w:jc w:val="left"/>
    </w:pPr>
    <w:rPr>
      <w:rFonts w:ascii="宋体" w:hAnsi="宋体" w:eastAsia="宋体" w:cs="Times New Roman"/>
      <w:kern w:val="0"/>
      <w:sz w:val="21"/>
      <w:szCs w:val="20"/>
    </w:rPr>
  </w:style>
  <w:style w:type="character" w:customStyle="1" w:styleId="28">
    <w:name w:val="标题 2 字符"/>
    <w:basedOn w:val="18"/>
    <w:link w:val="5"/>
    <w:semiHidden/>
    <w:qFormat/>
    <w:uiPriority w:val="9"/>
    <w:rPr>
      <w:rFonts w:asciiTheme="majorHAnsi" w:hAnsiTheme="majorHAnsi" w:eastAsiaTheme="majorEastAsia" w:cstheme="majorBidi"/>
      <w:b/>
      <w:bCs/>
      <w:sz w:val="32"/>
      <w:szCs w:val="32"/>
    </w:rPr>
  </w:style>
  <w:style w:type="character" w:customStyle="1" w:styleId="29">
    <w:name w:val="正文文本 2 字符"/>
    <w:basedOn w:val="18"/>
    <w:link w:val="13"/>
    <w:semiHidden/>
    <w:qFormat/>
    <w:uiPriority w:val="99"/>
  </w:style>
  <w:style w:type="paragraph" w:customStyle="1" w:styleId="30">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31">
    <w:name w:val="列表段落 字符"/>
    <w:link w:val="23"/>
    <w:qFormat/>
    <w:uiPriority w:val="0"/>
  </w:style>
  <w:style w:type="paragraph" w:customStyle="1" w:styleId="32">
    <w:name w:val="样式1"/>
    <w:basedOn w:val="1"/>
    <w:qFormat/>
    <w:uiPriority w:val="0"/>
    <w:pPr>
      <w:numPr>
        <w:ilvl w:val="0"/>
        <w:numId w:val="2"/>
      </w:numPr>
      <w:tabs>
        <w:tab w:val="left" w:pos="709"/>
      </w:tabs>
      <w:adjustRightInd w:val="0"/>
    </w:pPr>
    <w:rPr>
      <w:rFonts w:ascii="宋体" w:hAnsi="宋体"/>
      <w:kern w:val="0"/>
      <w:szCs w:val="21"/>
    </w:rPr>
  </w:style>
  <w:style w:type="paragraph" w:customStyle="1" w:styleId="3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4">
    <w:name w:val="批注文字 字符"/>
    <w:basedOn w:val="18"/>
    <w:link w:val="8"/>
    <w:semiHidden/>
    <w:qFormat/>
    <w:uiPriority w:val="99"/>
    <w:rPr>
      <w:kern w:val="2"/>
      <w:sz w:val="21"/>
      <w:szCs w:val="22"/>
    </w:rPr>
  </w:style>
  <w:style w:type="character" w:customStyle="1" w:styleId="35">
    <w:name w:val="批注主题 字符"/>
    <w:basedOn w:val="34"/>
    <w:link w:val="15"/>
    <w:semiHidden/>
    <w:qFormat/>
    <w:uiPriority w:val="99"/>
    <w:rPr>
      <w:b/>
      <w:bCs/>
      <w:kern w:val="2"/>
      <w:sz w:val="21"/>
      <w:szCs w:val="22"/>
    </w:rPr>
  </w:style>
  <w:style w:type="character" w:customStyle="1" w:styleId="36">
    <w:name w:val="批注框文本 字符"/>
    <w:basedOn w:val="18"/>
    <w:link w:val="10"/>
    <w:semiHidden/>
    <w:qFormat/>
    <w:uiPriority w:val="99"/>
    <w:rPr>
      <w:kern w:val="2"/>
      <w:sz w:val="18"/>
      <w:szCs w:val="18"/>
    </w:rPr>
  </w:style>
  <w:style w:type="character" w:customStyle="1" w:styleId="37">
    <w:name w:val="font31"/>
    <w:basedOn w:val="18"/>
    <w:qFormat/>
    <w:uiPriority w:val="0"/>
    <w:rPr>
      <w:rFonts w:hint="eastAsia" w:ascii="宋体" w:hAnsi="宋体" w:eastAsia="宋体" w:cs="宋体"/>
      <w:b/>
      <w:bCs/>
      <w:color w:val="000000"/>
      <w:sz w:val="22"/>
      <w:szCs w:val="22"/>
      <w:u w:val="none"/>
    </w:rPr>
  </w:style>
  <w:style w:type="character" w:customStyle="1" w:styleId="38">
    <w:name w:val="font11"/>
    <w:basedOn w:val="18"/>
    <w:qFormat/>
    <w:uiPriority w:val="0"/>
    <w:rPr>
      <w:rFonts w:hint="default" w:ascii="Times New Roman" w:hAnsi="Times New Roman" w:cs="Times New Roman"/>
      <w:color w:val="000000"/>
      <w:sz w:val="22"/>
      <w:szCs w:val="22"/>
      <w:u w:val="none"/>
    </w:rPr>
  </w:style>
  <w:style w:type="character" w:customStyle="1" w:styleId="39">
    <w:name w:val="font01"/>
    <w:basedOn w:val="18"/>
    <w:qFormat/>
    <w:uiPriority w:val="0"/>
    <w:rPr>
      <w:rFonts w:hint="eastAsia" w:ascii="宋体" w:hAnsi="宋体" w:eastAsia="宋体" w:cs="宋体"/>
      <w:color w:val="000000"/>
      <w:sz w:val="22"/>
      <w:szCs w:val="22"/>
      <w:u w:val="none"/>
    </w:rPr>
  </w:style>
  <w:style w:type="character" w:customStyle="1" w:styleId="40">
    <w:name w:val="font21"/>
    <w:basedOn w:val="18"/>
    <w:qFormat/>
    <w:uiPriority w:val="0"/>
    <w:rPr>
      <w:rFonts w:hint="default" w:ascii="Times New Roman" w:hAnsi="Times New Roman" w:cs="Times New Roman"/>
      <w:b/>
      <w:bCs/>
      <w:color w:val="000000"/>
      <w:sz w:val="22"/>
      <w:szCs w:val="22"/>
      <w:u w:val="none"/>
    </w:rPr>
  </w:style>
  <w:style w:type="character" w:customStyle="1" w:styleId="41">
    <w:name w:val="标题 1 字符"/>
    <w:basedOn w:val="18"/>
    <w:link w:val="4"/>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3457</Words>
  <Characters>3533</Characters>
  <Lines>1</Lines>
  <Paragraphs>7</Paragraphs>
  <TotalTime>29</TotalTime>
  <ScaleCrop>false</ScaleCrop>
  <LinksUpToDate>false</LinksUpToDate>
  <CharactersWithSpaces>3581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2024-12-10T08:31:00Z</dcterms:created>
  <dc:creator>freeuser</dc:creator>
  <cp:lastModifiedBy>DUSAIJUAN</cp:lastModifiedBy>
  <dcterms:modified xsi:type="dcterms:W3CDTF">2025-10-24T08:07:23Z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80EC0BEDAD3A4C798F6DD07DBD4739BB_13</vt:lpwstr>
  </property>
  <property fmtid="{D5CDD505-2E9C-101B-9397-08002B2CF9AE}" pid="4" name="KSOTemplateDocerSaveRecord">
    <vt:lpwstr>eyJoZGlkIjoiNjYyZmIxMDY4YTE0MTQxOWVjZTc2ZWI3OGIzZTkwNDYiLCJ1c2VySWQiOiI1MTI5OTY0NjYifQ==</vt:lpwstr>
  </property>
</Properties>
</file>